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16E913">
      <w:pPr>
        <w:numPr>
          <w:numId w:val="0"/>
        </w:numPr>
        <w:spacing w:line="360" w:lineRule="auto"/>
        <w:jc w:val="center"/>
        <w:outlineLvl w:val="0"/>
        <w:rPr>
          <w:rFonts w:hint="eastAsia" w:asciiTheme="minorEastAsia" w:hAnsiTheme="minorEastAsia" w:eastAsiaTheme="minorEastAsia"/>
          <w:b/>
          <w:color w:val="auto"/>
          <w:sz w:val="28"/>
          <w:highlight w:val="none"/>
        </w:rPr>
      </w:pPr>
      <w:bookmarkStart w:id="0" w:name="_GoBack"/>
      <w:bookmarkEnd w:id="0"/>
      <w:r>
        <w:rPr>
          <w:rFonts w:hint="eastAsia" w:asciiTheme="minorEastAsia" w:hAnsiTheme="minorEastAsia" w:eastAsiaTheme="minorEastAsia"/>
          <w:b/>
          <w:color w:val="auto"/>
          <w:sz w:val="28"/>
          <w:highlight w:val="none"/>
        </w:rPr>
        <w:t>采购需求</w:t>
      </w:r>
    </w:p>
    <w:p w14:paraId="799D0B68">
      <w:pPr>
        <w:numPr>
          <w:ilvl w:val="0"/>
          <w:numId w:val="0"/>
        </w:numPr>
        <w:spacing w:line="360" w:lineRule="auto"/>
        <w:jc w:val="both"/>
        <w:outlineLvl w:val="0"/>
        <w:rPr>
          <w:rFonts w:hint="eastAsia" w:asciiTheme="minorEastAsia" w:hAnsiTheme="minorEastAsia" w:eastAsiaTheme="minorEastAsia"/>
          <w:b/>
          <w:color w:val="auto"/>
          <w:sz w:val="28"/>
          <w:highlight w:val="none"/>
          <w:lang w:val="en-US" w:eastAsia="zh-CN"/>
        </w:rPr>
      </w:pPr>
      <w:r>
        <w:rPr>
          <w:rFonts w:hint="eastAsia" w:asciiTheme="minorEastAsia" w:hAnsiTheme="minorEastAsia" w:eastAsiaTheme="minorEastAsia"/>
          <w:b/>
          <w:color w:val="auto"/>
          <w:sz w:val="28"/>
          <w:highlight w:val="none"/>
          <w:lang w:val="en-US" w:eastAsia="zh-CN"/>
        </w:rPr>
        <w:t>一、</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8"/>
        <w:gridCol w:w="1277"/>
        <w:gridCol w:w="6287"/>
      </w:tblGrid>
      <w:tr w14:paraId="56A77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pct"/>
            <w:vAlign w:val="center"/>
          </w:tcPr>
          <w:p w14:paraId="05CAD858">
            <w:pPr>
              <w:spacing w:line="360" w:lineRule="auto"/>
              <w:jc w:val="center"/>
              <w:rPr>
                <w:rFonts w:hint="eastAsia" w:cs="@仿宋_GB2312" w:asciiTheme="minorEastAsia" w:hAnsiTheme="minorEastAsia" w:eastAsiaTheme="minorEastAsia"/>
                <w:b/>
                <w:color w:val="auto"/>
                <w:kern w:val="2"/>
                <w:sz w:val="24"/>
                <w:szCs w:val="22"/>
                <w:highlight w:val="none"/>
              </w:rPr>
            </w:pPr>
            <w:r>
              <w:rPr>
                <w:rFonts w:hint="eastAsia" w:cs="@仿宋_GB2312" w:asciiTheme="minorEastAsia" w:hAnsiTheme="minorEastAsia" w:eastAsiaTheme="minorEastAsia"/>
                <w:b/>
                <w:color w:val="auto"/>
                <w:kern w:val="2"/>
                <w:sz w:val="24"/>
                <w:szCs w:val="22"/>
                <w:highlight w:val="none"/>
              </w:rPr>
              <w:t>序号</w:t>
            </w:r>
          </w:p>
        </w:tc>
        <w:tc>
          <w:tcPr>
            <w:tcW w:w="749" w:type="pct"/>
            <w:vAlign w:val="center"/>
          </w:tcPr>
          <w:p w14:paraId="4120DCB1">
            <w:pPr>
              <w:spacing w:line="360" w:lineRule="auto"/>
              <w:jc w:val="center"/>
              <w:rPr>
                <w:rFonts w:hint="eastAsia" w:cs="@仿宋_GB2312" w:asciiTheme="minorEastAsia" w:hAnsiTheme="minorEastAsia" w:eastAsiaTheme="minorEastAsia"/>
                <w:b/>
                <w:color w:val="auto"/>
                <w:kern w:val="2"/>
                <w:sz w:val="24"/>
                <w:szCs w:val="22"/>
                <w:highlight w:val="none"/>
              </w:rPr>
            </w:pPr>
            <w:r>
              <w:rPr>
                <w:rFonts w:hint="eastAsia" w:cs="@仿宋_GB2312" w:asciiTheme="minorEastAsia" w:hAnsiTheme="minorEastAsia" w:eastAsiaTheme="minorEastAsia"/>
                <w:b/>
                <w:color w:val="auto"/>
                <w:kern w:val="2"/>
                <w:sz w:val="24"/>
                <w:szCs w:val="22"/>
                <w:highlight w:val="none"/>
              </w:rPr>
              <w:t>内容</w:t>
            </w:r>
          </w:p>
        </w:tc>
        <w:tc>
          <w:tcPr>
            <w:tcW w:w="3688" w:type="pct"/>
            <w:vAlign w:val="center"/>
          </w:tcPr>
          <w:p w14:paraId="0D152115">
            <w:pPr>
              <w:spacing w:line="360" w:lineRule="auto"/>
              <w:ind w:firstLine="435"/>
              <w:jc w:val="center"/>
              <w:rPr>
                <w:rFonts w:hint="eastAsia" w:cs="@仿宋_GB2312" w:asciiTheme="minorEastAsia" w:hAnsiTheme="minorEastAsia" w:eastAsiaTheme="minorEastAsia"/>
                <w:b/>
                <w:color w:val="auto"/>
                <w:kern w:val="2"/>
                <w:sz w:val="24"/>
                <w:szCs w:val="22"/>
                <w:highlight w:val="none"/>
              </w:rPr>
            </w:pPr>
            <w:r>
              <w:rPr>
                <w:rFonts w:hint="eastAsia" w:cs="@仿宋_GB2312" w:asciiTheme="minorEastAsia" w:hAnsiTheme="minorEastAsia" w:eastAsiaTheme="minorEastAsia"/>
                <w:b/>
                <w:color w:val="auto"/>
                <w:kern w:val="2"/>
                <w:sz w:val="24"/>
                <w:szCs w:val="22"/>
                <w:highlight w:val="none"/>
              </w:rPr>
              <w:t>说明和要求</w:t>
            </w:r>
          </w:p>
        </w:tc>
      </w:tr>
      <w:tr w14:paraId="24CE9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562" w:type="pct"/>
            <w:vAlign w:val="center"/>
          </w:tcPr>
          <w:p w14:paraId="78438F6C">
            <w:pPr>
              <w:spacing w:line="360" w:lineRule="auto"/>
              <w:jc w:val="center"/>
              <w:rPr>
                <w:rFonts w:hint="eastAsia"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1</w:t>
            </w:r>
          </w:p>
        </w:tc>
        <w:tc>
          <w:tcPr>
            <w:tcW w:w="749" w:type="pct"/>
            <w:vAlign w:val="center"/>
          </w:tcPr>
          <w:p w14:paraId="0546556A">
            <w:pPr>
              <w:spacing w:line="360" w:lineRule="auto"/>
              <w:jc w:val="center"/>
              <w:rPr>
                <w:rFonts w:hint="default" w:cs="@仿宋_GB2312" w:asciiTheme="minorEastAsia" w:hAnsiTheme="minorEastAsia" w:eastAsiaTheme="minorEastAsia"/>
                <w:color w:val="auto"/>
                <w:kern w:val="2"/>
                <w:sz w:val="24"/>
                <w:szCs w:val="22"/>
                <w:highlight w:val="none"/>
                <w:lang w:val="en-US" w:eastAsia="zh-CN"/>
              </w:rPr>
            </w:pPr>
            <w:r>
              <w:rPr>
                <w:rFonts w:hint="eastAsia" w:cs="@仿宋_GB2312" w:asciiTheme="minorEastAsia" w:hAnsiTheme="minorEastAsia" w:eastAsiaTheme="minorEastAsia"/>
                <w:color w:val="auto"/>
                <w:kern w:val="2"/>
                <w:sz w:val="24"/>
                <w:szCs w:val="22"/>
                <w:highlight w:val="none"/>
                <w:lang w:val="en-US" w:eastAsia="zh-CN"/>
              </w:rPr>
              <w:t>付款方式</w:t>
            </w:r>
          </w:p>
        </w:tc>
        <w:tc>
          <w:tcPr>
            <w:tcW w:w="3688" w:type="pct"/>
            <w:vAlign w:val="center"/>
          </w:tcPr>
          <w:p w14:paraId="4300B3DB">
            <w:pPr>
              <w:spacing w:line="360" w:lineRule="auto"/>
              <w:jc w:val="left"/>
              <w:rPr>
                <w:rFonts w:hint="eastAsia" w:cs="宋体" w:eastAsiaTheme="minorEastAsia"/>
                <w:color w:val="auto"/>
                <w:kern w:val="2"/>
                <w:sz w:val="24"/>
                <w:szCs w:val="24"/>
                <w:highlight w:val="none"/>
                <w:lang w:val="en-US" w:eastAsia="zh-CN"/>
              </w:rPr>
            </w:pPr>
            <w:r>
              <w:rPr>
                <w:rFonts w:hint="eastAsia" w:cs="宋体" w:eastAsiaTheme="minorEastAsia"/>
                <w:color w:val="auto"/>
                <w:kern w:val="2"/>
                <w:sz w:val="24"/>
                <w:szCs w:val="24"/>
                <w:highlight w:val="none"/>
              </w:rPr>
              <w:t>验收合格</w:t>
            </w:r>
            <w:r>
              <w:rPr>
                <w:rFonts w:hint="eastAsia" w:cs="宋体" w:eastAsiaTheme="minorEastAsia"/>
                <w:color w:val="auto"/>
                <w:kern w:val="2"/>
                <w:sz w:val="24"/>
                <w:szCs w:val="24"/>
                <w:highlight w:val="none"/>
                <w:lang w:val="en-US" w:eastAsia="zh-CN"/>
              </w:rPr>
              <w:t>后</w:t>
            </w:r>
            <w:r>
              <w:rPr>
                <w:rFonts w:hint="eastAsia" w:cs="宋体" w:eastAsiaTheme="minorEastAsia"/>
                <w:color w:val="auto"/>
                <w:kern w:val="2"/>
                <w:sz w:val="24"/>
                <w:szCs w:val="24"/>
                <w:highlight w:val="none"/>
              </w:rPr>
              <w:t>一次性付款</w:t>
            </w:r>
            <w:r>
              <w:rPr>
                <w:rFonts w:hint="eastAsia" w:cs="宋体" w:eastAsiaTheme="minorEastAsia"/>
                <w:color w:val="auto"/>
                <w:kern w:val="2"/>
                <w:sz w:val="24"/>
                <w:szCs w:val="24"/>
                <w:highlight w:val="none"/>
                <w:lang w:eastAsia="zh-CN"/>
              </w:rPr>
              <w:t>。</w:t>
            </w:r>
          </w:p>
        </w:tc>
      </w:tr>
      <w:tr w14:paraId="15BC7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pct"/>
            <w:vAlign w:val="center"/>
          </w:tcPr>
          <w:p w14:paraId="0B3C3F75">
            <w:pPr>
              <w:spacing w:line="360" w:lineRule="auto"/>
              <w:jc w:val="center"/>
              <w:rPr>
                <w:rFonts w:hint="eastAsia" w:cs="@仿宋_GB2312" w:asciiTheme="minorEastAsia" w:hAnsiTheme="minorEastAsia" w:eastAsiaTheme="minorEastAsia"/>
                <w:color w:val="auto"/>
                <w:kern w:val="2"/>
                <w:sz w:val="24"/>
                <w:szCs w:val="22"/>
                <w:highlight w:val="none"/>
                <w:lang w:val="en-US" w:eastAsia="zh-CN"/>
              </w:rPr>
            </w:pPr>
            <w:r>
              <w:rPr>
                <w:rFonts w:hint="eastAsia" w:cs="@仿宋_GB2312" w:asciiTheme="minorEastAsia" w:hAnsiTheme="minorEastAsia" w:eastAsiaTheme="minorEastAsia"/>
                <w:color w:val="auto"/>
                <w:kern w:val="2"/>
                <w:sz w:val="24"/>
                <w:szCs w:val="22"/>
                <w:highlight w:val="none"/>
                <w:lang w:val="en-US" w:eastAsia="zh-CN"/>
              </w:rPr>
              <w:t>2</w:t>
            </w:r>
          </w:p>
        </w:tc>
        <w:tc>
          <w:tcPr>
            <w:tcW w:w="749" w:type="pct"/>
            <w:vAlign w:val="center"/>
          </w:tcPr>
          <w:p w14:paraId="75FB914D">
            <w:pPr>
              <w:spacing w:line="360" w:lineRule="auto"/>
              <w:jc w:val="center"/>
              <w:rPr>
                <w:rFonts w:hint="eastAsia"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计价方式</w:t>
            </w:r>
          </w:p>
        </w:tc>
        <w:tc>
          <w:tcPr>
            <w:tcW w:w="3688" w:type="pct"/>
            <w:vAlign w:val="center"/>
          </w:tcPr>
          <w:p w14:paraId="588858C5">
            <w:pPr>
              <w:spacing w:line="360" w:lineRule="auto"/>
              <w:jc w:val="left"/>
              <w:rPr>
                <w:rFonts w:hint="eastAsia" w:cs="宋体" w:eastAsiaTheme="minorEastAsia"/>
                <w:color w:val="auto"/>
                <w:kern w:val="2"/>
                <w:sz w:val="24"/>
                <w:szCs w:val="24"/>
                <w:highlight w:val="none"/>
              </w:rPr>
            </w:pPr>
            <w:r>
              <w:rPr>
                <w:rFonts w:cs="宋体" w:eastAsiaTheme="minorEastAsia"/>
                <w:color w:val="auto"/>
                <w:kern w:val="2"/>
                <w:sz w:val="24"/>
                <w:szCs w:val="24"/>
                <w:highlight w:val="none"/>
              </w:rPr>
              <w:t>①本项目采用工程量清单计价。</w:t>
            </w:r>
          </w:p>
          <w:p w14:paraId="7CE63D98">
            <w:pPr>
              <w:spacing w:line="360" w:lineRule="auto"/>
              <w:jc w:val="left"/>
              <w:rPr>
                <w:rFonts w:hint="eastAsia" w:cs="宋体" w:eastAsiaTheme="minorEastAsia"/>
                <w:color w:val="auto"/>
                <w:kern w:val="2"/>
                <w:sz w:val="24"/>
                <w:szCs w:val="24"/>
                <w:highlight w:val="none"/>
              </w:rPr>
            </w:pPr>
            <w:r>
              <w:rPr>
                <w:rFonts w:cs="宋体" w:eastAsiaTheme="minorEastAsia"/>
                <w:color w:val="auto"/>
                <w:kern w:val="2"/>
                <w:sz w:val="24"/>
                <w:szCs w:val="24"/>
                <w:highlight w:val="none"/>
              </w:rPr>
              <w:t>②除采购文件另有约定外，本项目计税采用增值税一般计税方法。</w:t>
            </w:r>
          </w:p>
          <w:p w14:paraId="7C55E5A4">
            <w:pPr>
              <w:spacing w:line="360" w:lineRule="auto"/>
              <w:jc w:val="left"/>
              <w:rPr>
                <w:rFonts w:hint="eastAsia" w:cs="宋体" w:eastAsiaTheme="minorEastAsia"/>
                <w:color w:val="auto"/>
                <w:kern w:val="2"/>
                <w:sz w:val="24"/>
                <w:szCs w:val="24"/>
                <w:highlight w:val="none"/>
              </w:rPr>
            </w:pPr>
            <w:r>
              <w:rPr>
                <w:rFonts w:cs="宋体" w:eastAsiaTheme="minorEastAsia"/>
                <w:color w:val="auto"/>
                <w:kern w:val="2"/>
                <w:sz w:val="24"/>
                <w:szCs w:val="24"/>
                <w:highlight w:val="none"/>
              </w:rPr>
              <w:t>③建设工程造价由分部分项工程费、措施项目费、不可竞争费、其他项目费</w:t>
            </w:r>
            <w:r>
              <w:rPr>
                <w:rFonts w:ascii="宋体" w:hAnsi="宋体" w:eastAsia="宋体" w:cs="宋体"/>
                <w:color w:val="auto"/>
                <w:kern w:val="2"/>
                <w:sz w:val="24"/>
                <w:szCs w:val="24"/>
              </w:rPr>
              <w:t>、安全生产责任保险费</w:t>
            </w:r>
            <w:r>
              <w:rPr>
                <w:rFonts w:cs="宋体" w:eastAsiaTheme="minorEastAsia"/>
                <w:color w:val="auto"/>
                <w:kern w:val="2"/>
                <w:sz w:val="24"/>
                <w:szCs w:val="24"/>
                <w:highlight w:val="none"/>
              </w:rPr>
              <w:t>和</w:t>
            </w:r>
            <w:r>
              <w:rPr>
                <w:rFonts w:ascii="宋体" w:hAnsi="宋体" w:eastAsia="宋体" w:cs="宋体"/>
                <w:color w:val="auto"/>
                <w:kern w:val="2"/>
                <w:sz w:val="24"/>
                <w:szCs w:val="24"/>
              </w:rPr>
              <w:t>增值税构成</w:t>
            </w:r>
            <w:r>
              <w:rPr>
                <w:rFonts w:cs="宋体" w:eastAsiaTheme="minorEastAsia"/>
                <w:color w:val="auto"/>
                <w:kern w:val="2"/>
                <w:sz w:val="24"/>
                <w:szCs w:val="24"/>
                <w:highlight w:val="none"/>
              </w:rPr>
              <w:t>。</w:t>
            </w:r>
          </w:p>
          <w:p w14:paraId="1D9C3E65">
            <w:pPr>
              <w:spacing w:line="360" w:lineRule="auto"/>
              <w:jc w:val="left"/>
              <w:rPr>
                <w:rFonts w:hint="eastAsia" w:cs="@仿宋_GB2312" w:asciiTheme="minorEastAsia" w:hAnsiTheme="minorEastAsia" w:eastAsiaTheme="minorEastAsia"/>
                <w:color w:val="auto"/>
                <w:kern w:val="2"/>
                <w:sz w:val="24"/>
                <w:szCs w:val="22"/>
                <w:highlight w:val="none"/>
              </w:rPr>
            </w:pPr>
            <w:r>
              <w:rPr>
                <w:rFonts w:cs="宋体" w:eastAsiaTheme="minorEastAsia"/>
                <w:color w:val="auto"/>
                <w:kern w:val="2"/>
                <w:sz w:val="24"/>
                <w:szCs w:val="24"/>
                <w:highlight w:val="none"/>
              </w:rPr>
              <w:t>④分部分项工程项目清单采用综合单价计价。综合单价是指完成一个规定计量单位的分部分项工程和措施清单项目所需的</w:t>
            </w:r>
            <w:r>
              <w:rPr>
                <w:rFonts w:ascii="宋体" w:hAnsi="宋体" w:eastAsia="宋体" w:cs="宋体"/>
                <w:color w:val="auto"/>
                <w:kern w:val="2"/>
                <w:sz w:val="24"/>
                <w:szCs w:val="24"/>
              </w:rPr>
              <w:t>人工费、材料和工程设备费、施工机具使用费和综合费（企业管理费和利润）以及一定范围内的风险费用。</w:t>
            </w:r>
          </w:p>
        </w:tc>
      </w:tr>
      <w:tr w14:paraId="28F2A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pct"/>
            <w:vAlign w:val="center"/>
          </w:tcPr>
          <w:p w14:paraId="615E7DC5">
            <w:pPr>
              <w:spacing w:line="360" w:lineRule="auto"/>
              <w:jc w:val="center"/>
              <w:rPr>
                <w:rFonts w:hint="eastAsia" w:cs="@仿宋_GB2312" w:asciiTheme="minorEastAsia" w:hAnsiTheme="minorEastAsia" w:eastAsiaTheme="minorEastAsia"/>
                <w:color w:val="auto"/>
                <w:kern w:val="2"/>
                <w:sz w:val="24"/>
                <w:szCs w:val="22"/>
                <w:highlight w:val="none"/>
                <w:lang w:eastAsia="zh-CN"/>
              </w:rPr>
            </w:pPr>
            <w:r>
              <w:rPr>
                <w:rFonts w:hint="eastAsia" w:cs="@仿宋_GB2312" w:asciiTheme="minorEastAsia" w:hAnsiTheme="minorEastAsia" w:eastAsiaTheme="minorEastAsia"/>
                <w:color w:val="auto"/>
                <w:kern w:val="2"/>
                <w:sz w:val="24"/>
                <w:szCs w:val="22"/>
                <w:highlight w:val="none"/>
                <w:lang w:val="en-US" w:eastAsia="zh-CN"/>
              </w:rPr>
              <w:t>3</w:t>
            </w:r>
          </w:p>
        </w:tc>
        <w:tc>
          <w:tcPr>
            <w:tcW w:w="749" w:type="pct"/>
            <w:vAlign w:val="center"/>
          </w:tcPr>
          <w:p w14:paraId="1D7F6530">
            <w:pPr>
              <w:spacing w:line="360" w:lineRule="auto"/>
              <w:rPr>
                <w:rFonts w:hint="eastAsia"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人员到岗及履约要求</w:t>
            </w:r>
          </w:p>
        </w:tc>
        <w:tc>
          <w:tcPr>
            <w:tcW w:w="3688" w:type="pct"/>
            <w:vAlign w:val="center"/>
          </w:tcPr>
          <w:p w14:paraId="6B22C21D">
            <w:pPr>
              <w:numPr>
                <w:ilvl w:val="0"/>
                <w:numId w:val="1"/>
              </w:numPr>
              <w:spacing w:line="360" w:lineRule="auto"/>
              <w:rPr>
                <w:rFonts w:hint="eastAsia" w:cs="宋体" w:eastAsiaTheme="minorEastAsia"/>
                <w:color w:val="auto"/>
                <w:kern w:val="2"/>
                <w:sz w:val="24"/>
                <w:szCs w:val="24"/>
                <w:highlight w:val="none"/>
              </w:rPr>
            </w:pPr>
            <w:r>
              <w:rPr>
                <w:rFonts w:ascii="宋体" w:hAnsi="宋体" w:eastAsia="宋体" w:cs="宋体"/>
                <w:color w:val="auto"/>
                <w:kern w:val="2"/>
                <w:sz w:val="24"/>
                <w:szCs w:val="24"/>
              </w:rPr>
              <w:t>供应商一旦成交，</w:t>
            </w:r>
            <w:r>
              <w:rPr>
                <w:rFonts w:hint="eastAsia" w:ascii="宋体" w:hAnsi="宋体" w:eastAsia="宋体" w:cs="宋体"/>
                <w:color w:val="auto"/>
                <w:kern w:val="2"/>
                <w:sz w:val="24"/>
                <w:szCs w:val="24"/>
                <w:lang w:val="en-US" w:eastAsia="zh-CN"/>
              </w:rPr>
              <w:t>谈判</w:t>
            </w:r>
            <w:r>
              <w:rPr>
                <w:rFonts w:ascii="宋体" w:hAnsi="宋体" w:eastAsia="宋体" w:cs="宋体"/>
                <w:color w:val="auto"/>
                <w:kern w:val="2"/>
                <w:sz w:val="24"/>
                <w:szCs w:val="24"/>
              </w:rPr>
              <w:t>响应函时所报的本项目的项目经理、技术负责人及其他主要管理人员等在整个项目施工期间必须在位。不得擅自更换磋商时所报项目经理、技术负责人及其他主要管理人员。</w:t>
            </w:r>
          </w:p>
          <w:p w14:paraId="305219BA">
            <w:pPr>
              <w:numPr>
                <w:ilvl w:val="0"/>
                <w:numId w:val="1"/>
              </w:numPr>
              <w:spacing w:line="360" w:lineRule="auto"/>
              <w:rPr>
                <w:rFonts w:hint="eastAsia" w:cs="宋体" w:eastAsiaTheme="minorEastAsia"/>
                <w:color w:val="auto"/>
                <w:kern w:val="2"/>
                <w:sz w:val="24"/>
                <w:szCs w:val="24"/>
                <w:highlight w:val="none"/>
              </w:rPr>
            </w:pPr>
            <w:r>
              <w:rPr>
                <w:rFonts w:cs="宋体" w:eastAsiaTheme="minorEastAsia"/>
                <w:color w:val="auto"/>
                <w:kern w:val="2"/>
                <w:sz w:val="24"/>
                <w:szCs w:val="24"/>
                <w:highlight w:val="none"/>
              </w:rPr>
              <w:t>成交供应商不得擅自更换</w:t>
            </w:r>
            <w:r>
              <w:rPr>
                <w:rFonts w:hint="eastAsia" w:cs="宋体" w:eastAsiaTheme="minorEastAsia"/>
                <w:color w:val="auto"/>
                <w:kern w:val="2"/>
                <w:sz w:val="24"/>
                <w:szCs w:val="24"/>
                <w:highlight w:val="none"/>
                <w:lang w:eastAsia="zh-CN"/>
              </w:rPr>
              <w:t>谈判</w:t>
            </w:r>
            <w:r>
              <w:rPr>
                <w:rFonts w:cs="宋体" w:eastAsiaTheme="minorEastAsia"/>
                <w:color w:val="auto"/>
                <w:kern w:val="2"/>
                <w:sz w:val="24"/>
                <w:szCs w:val="24"/>
                <w:highlight w:val="none"/>
              </w:rPr>
              <w:t>时所报项目经理及项目部主要管理人员。确需更换时，须报采购人同意，更换后人员不得低于成交供应商</w:t>
            </w:r>
            <w:r>
              <w:rPr>
                <w:rFonts w:hint="eastAsia" w:cs="宋体" w:eastAsiaTheme="minorEastAsia"/>
                <w:color w:val="auto"/>
                <w:kern w:val="2"/>
                <w:sz w:val="24"/>
                <w:szCs w:val="24"/>
                <w:highlight w:val="none"/>
                <w:lang w:eastAsia="zh-CN"/>
              </w:rPr>
              <w:t>谈判</w:t>
            </w:r>
            <w:r>
              <w:rPr>
                <w:rFonts w:cs="宋体" w:eastAsiaTheme="minorEastAsia"/>
                <w:color w:val="auto"/>
                <w:kern w:val="2"/>
                <w:sz w:val="24"/>
                <w:szCs w:val="24"/>
                <w:highlight w:val="none"/>
              </w:rPr>
              <w:t>时所报人员资质和技术水平。采购人如认为有必要，可要求对上述人员中的部分人员作出更好的调整。</w:t>
            </w:r>
          </w:p>
          <w:p w14:paraId="1C5F39B5">
            <w:pPr>
              <w:spacing w:line="360" w:lineRule="auto"/>
              <w:rPr>
                <w:rFonts w:hint="eastAsia" w:cs="@仿宋_GB2312" w:asciiTheme="minorEastAsia" w:hAnsiTheme="minorEastAsia" w:eastAsiaTheme="minorEastAsia"/>
                <w:color w:val="auto"/>
                <w:kern w:val="2"/>
                <w:sz w:val="24"/>
                <w:szCs w:val="22"/>
                <w:highlight w:val="none"/>
              </w:rPr>
            </w:pPr>
            <w:r>
              <w:rPr>
                <w:rFonts w:cs="宋体" w:eastAsiaTheme="minorEastAsia"/>
                <w:color w:val="auto"/>
                <w:kern w:val="2"/>
                <w:sz w:val="24"/>
                <w:szCs w:val="24"/>
                <w:highlight w:val="none"/>
              </w:rPr>
              <w:t>（3）</w:t>
            </w:r>
            <w:r>
              <w:rPr>
                <w:rFonts w:ascii="宋体" w:hAnsi="宋体" w:eastAsia="宋体" w:cs="宋体"/>
                <w:color w:val="auto"/>
                <w:kern w:val="2"/>
                <w:sz w:val="24"/>
                <w:szCs w:val="24"/>
              </w:rPr>
              <w:t>成交供应商未能按照承诺到岗尽职的，采购人将视情况严重程度对其作出相应处理，给予警告并发出整改通知。如仍未及时整改，采购人有权责令其停工整改。如造成工期延误等损失，将由成交人承担。</w:t>
            </w:r>
          </w:p>
        </w:tc>
      </w:tr>
      <w:tr w14:paraId="16C44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pct"/>
            <w:vAlign w:val="center"/>
          </w:tcPr>
          <w:p w14:paraId="141F9FCD">
            <w:pPr>
              <w:spacing w:line="360" w:lineRule="auto"/>
              <w:jc w:val="center"/>
              <w:rPr>
                <w:rFonts w:hint="eastAsia" w:cs="@仿宋_GB2312" w:asciiTheme="minorEastAsia" w:hAnsiTheme="minorEastAsia" w:eastAsiaTheme="minorEastAsia"/>
                <w:color w:val="auto"/>
                <w:kern w:val="2"/>
                <w:sz w:val="24"/>
                <w:szCs w:val="22"/>
                <w:highlight w:val="none"/>
                <w:lang w:eastAsia="zh-CN"/>
              </w:rPr>
            </w:pPr>
            <w:r>
              <w:rPr>
                <w:rFonts w:hint="eastAsia" w:cs="@仿宋_GB2312" w:asciiTheme="minorEastAsia" w:hAnsiTheme="minorEastAsia" w:eastAsiaTheme="minorEastAsia"/>
                <w:color w:val="auto"/>
                <w:kern w:val="2"/>
                <w:sz w:val="24"/>
                <w:szCs w:val="22"/>
                <w:highlight w:val="none"/>
                <w:lang w:val="en-US" w:eastAsia="zh-CN"/>
              </w:rPr>
              <w:t>4</w:t>
            </w:r>
          </w:p>
        </w:tc>
        <w:tc>
          <w:tcPr>
            <w:tcW w:w="749" w:type="pct"/>
            <w:vAlign w:val="center"/>
          </w:tcPr>
          <w:p w14:paraId="196F9344">
            <w:pPr>
              <w:spacing w:line="360" w:lineRule="auto"/>
              <w:rPr>
                <w:rFonts w:hint="eastAsia"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材料要求</w:t>
            </w:r>
          </w:p>
        </w:tc>
        <w:tc>
          <w:tcPr>
            <w:tcW w:w="3688" w:type="pct"/>
            <w:vAlign w:val="center"/>
          </w:tcPr>
          <w:p w14:paraId="0E20E5F5">
            <w:pPr>
              <w:spacing w:line="360" w:lineRule="auto"/>
              <w:rPr>
                <w:rFonts w:hint="eastAsia" w:cs="宋体" w:eastAsiaTheme="minorEastAsia"/>
                <w:color w:val="auto"/>
                <w:kern w:val="2"/>
                <w:sz w:val="24"/>
                <w:szCs w:val="24"/>
                <w:highlight w:val="none"/>
              </w:rPr>
            </w:pPr>
            <w:r>
              <w:rPr>
                <w:rFonts w:cs="宋体" w:eastAsiaTheme="minorEastAsia"/>
                <w:color w:val="auto"/>
                <w:kern w:val="2"/>
                <w:sz w:val="24"/>
                <w:szCs w:val="24"/>
                <w:highlight w:val="none"/>
              </w:rPr>
              <w:t>①除采购人提供的材料、设备外，凡属承包范围内的所有 材料、设备均由成交人自行采购，成交人必须选用合格产 品并经采购人同意</w:t>
            </w:r>
            <w:r>
              <w:rPr>
                <w:rFonts w:hint="eastAsia" w:cs="宋体" w:eastAsiaTheme="minorEastAsia"/>
                <w:color w:val="auto"/>
                <w:kern w:val="2"/>
                <w:sz w:val="24"/>
                <w:szCs w:val="24"/>
                <w:highlight w:val="none"/>
              </w:rPr>
              <w:t>。</w:t>
            </w:r>
          </w:p>
          <w:p w14:paraId="2493D2F5">
            <w:pPr>
              <w:spacing w:line="360" w:lineRule="auto"/>
              <w:rPr>
                <w:rFonts w:hint="eastAsia" w:cs="宋体" w:eastAsiaTheme="minorEastAsia"/>
                <w:color w:val="auto"/>
                <w:kern w:val="2"/>
                <w:sz w:val="24"/>
                <w:szCs w:val="24"/>
                <w:highlight w:val="none"/>
              </w:rPr>
            </w:pPr>
            <w:r>
              <w:rPr>
                <w:rFonts w:cs="宋体" w:eastAsiaTheme="minorEastAsia"/>
                <w:color w:val="auto"/>
                <w:kern w:val="2"/>
                <w:sz w:val="24"/>
                <w:szCs w:val="24"/>
                <w:highlight w:val="none"/>
              </w:rPr>
              <w:t>②成交人对本工程的主要材料、设备及供应的厂商，须进 行资格和品牌的认定，在采购前应将供应商的有关资料（如 质保书、生产许可证等或备案要求）报监理单位审查，并经采购人批准后方可采购。否则，采购人有权不予验收进 场，由此造成的损失由成交人自负，工期不予顺延。</w:t>
            </w:r>
          </w:p>
          <w:p w14:paraId="1B9C9E78">
            <w:pPr>
              <w:spacing w:line="360" w:lineRule="auto"/>
              <w:rPr>
                <w:rFonts w:hint="eastAsia" w:cs="宋体" w:eastAsiaTheme="minorEastAsia"/>
                <w:color w:val="auto"/>
                <w:kern w:val="2"/>
                <w:sz w:val="24"/>
                <w:szCs w:val="24"/>
                <w:highlight w:val="none"/>
              </w:rPr>
            </w:pPr>
            <w:r>
              <w:rPr>
                <w:rFonts w:cs="宋体" w:eastAsiaTheme="minorEastAsia"/>
                <w:color w:val="auto"/>
                <w:kern w:val="2"/>
                <w:sz w:val="24"/>
                <w:szCs w:val="24"/>
                <w:highlight w:val="none"/>
              </w:rPr>
              <w:t>③由成交人实施采购的工程主要设备和材料由成交人实 施，品牌、规格等须经采购人认可签字后方可进行采购， 成交人采购计划应提前报采购人审定。因成交人资源投入不足，直接影响工程质量和工期，且无视监理工程师的警告而不做改进，从而引起工程的质量、进度和材料设备准备严重滞后时，采购人有权采取相关措施进行补救，相关措施的费用由成交人承担。</w:t>
            </w:r>
          </w:p>
          <w:p w14:paraId="57F8F65B">
            <w:pPr>
              <w:spacing w:line="360" w:lineRule="auto"/>
              <w:rPr>
                <w:rFonts w:hint="eastAsia" w:eastAsiaTheme="minorEastAsia"/>
                <w:color w:val="auto"/>
                <w:kern w:val="2"/>
                <w:sz w:val="21"/>
                <w:szCs w:val="22"/>
                <w:highlight w:val="none"/>
              </w:rPr>
            </w:pPr>
            <w:r>
              <w:rPr>
                <w:rFonts w:cs="宋体" w:eastAsiaTheme="minorEastAsia"/>
                <w:color w:val="auto"/>
                <w:kern w:val="2"/>
                <w:sz w:val="24"/>
                <w:szCs w:val="24"/>
                <w:highlight w:val="none"/>
              </w:rPr>
              <w:t>④若成交人不能提供符合设计要求或合同约定的材料，采 购人有权要求成交人停止采购，已经采购进场的勒令其退 场，由此所造成的一切损失或发生的费用由成交人承担。</w:t>
            </w:r>
          </w:p>
        </w:tc>
      </w:tr>
      <w:tr w14:paraId="16B15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pct"/>
            <w:vAlign w:val="center"/>
          </w:tcPr>
          <w:p w14:paraId="6054E285">
            <w:pPr>
              <w:spacing w:line="360" w:lineRule="auto"/>
              <w:jc w:val="center"/>
              <w:rPr>
                <w:rFonts w:hint="eastAsia" w:cs="@仿宋_GB2312" w:asciiTheme="minorEastAsia" w:hAnsiTheme="minorEastAsia" w:eastAsiaTheme="minorEastAsia"/>
                <w:color w:val="auto"/>
                <w:kern w:val="2"/>
                <w:sz w:val="24"/>
                <w:szCs w:val="22"/>
                <w:highlight w:val="none"/>
                <w:lang w:eastAsia="zh-CN"/>
              </w:rPr>
            </w:pPr>
            <w:r>
              <w:rPr>
                <w:rFonts w:hint="eastAsia" w:cs="@仿宋_GB2312" w:asciiTheme="minorEastAsia" w:hAnsiTheme="minorEastAsia" w:eastAsiaTheme="minorEastAsia"/>
                <w:color w:val="auto"/>
                <w:kern w:val="2"/>
                <w:sz w:val="24"/>
                <w:szCs w:val="22"/>
                <w:highlight w:val="none"/>
                <w:lang w:val="en-US" w:eastAsia="zh-CN"/>
              </w:rPr>
              <w:t>5</w:t>
            </w:r>
          </w:p>
        </w:tc>
        <w:tc>
          <w:tcPr>
            <w:tcW w:w="749" w:type="pct"/>
            <w:vAlign w:val="center"/>
          </w:tcPr>
          <w:p w14:paraId="08BDF90A">
            <w:pPr>
              <w:spacing w:line="360" w:lineRule="auto"/>
              <w:rPr>
                <w:rFonts w:hint="eastAsia"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工程施工重点难点</w:t>
            </w:r>
          </w:p>
        </w:tc>
        <w:tc>
          <w:tcPr>
            <w:tcW w:w="3688" w:type="pct"/>
            <w:vAlign w:val="center"/>
          </w:tcPr>
          <w:p w14:paraId="03CF2909">
            <w:pPr>
              <w:spacing w:line="360" w:lineRule="auto"/>
              <w:rPr>
                <w:rFonts w:hint="eastAsia"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w:t>
            </w:r>
          </w:p>
        </w:tc>
      </w:tr>
      <w:tr w14:paraId="7185D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pct"/>
            <w:vAlign w:val="center"/>
          </w:tcPr>
          <w:p w14:paraId="200A6AEC">
            <w:pPr>
              <w:spacing w:line="360" w:lineRule="auto"/>
              <w:jc w:val="center"/>
              <w:rPr>
                <w:rFonts w:hint="eastAsia" w:cs="@仿宋_GB2312" w:asciiTheme="minorEastAsia" w:hAnsiTheme="minorEastAsia" w:eastAsiaTheme="minorEastAsia"/>
                <w:color w:val="auto"/>
                <w:kern w:val="2"/>
                <w:sz w:val="24"/>
                <w:szCs w:val="22"/>
                <w:highlight w:val="none"/>
                <w:lang w:eastAsia="zh-CN"/>
              </w:rPr>
            </w:pPr>
            <w:r>
              <w:rPr>
                <w:rFonts w:hint="eastAsia" w:cs="@仿宋_GB2312" w:asciiTheme="minorEastAsia" w:hAnsiTheme="minorEastAsia" w:eastAsiaTheme="minorEastAsia"/>
                <w:color w:val="auto"/>
                <w:kern w:val="2"/>
                <w:sz w:val="24"/>
                <w:szCs w:val="22"/>
                <w:highlight w:val="none"/>
                <w:lang w:val="en-US" w:eastAsia="zh-CN"/>
              </w:rPr>
              <w:t>6</w:t>
            </w:r>
          </w:p>
        </w:tc>
        <w:tc>
          <w:tcPr>
            <w:tcW w:w="749" w:type="pct"/>
            <w:vAlign w:val="center"/>
          </w:tcPr>
          <w:p w14:paraId="01D71D3E">
            <w:pPr>
              <w:spacing w:line="360" w:lineRule="auto"/>
              <w:rPr>
                <w:rFonts w:hint="eastAsia"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报价须知</w:t>
            </w:r>
          </w:p>
        </w:tc>
        <w:tc>
          <w:tcPr>
            <w:tcW w:w="3688" w:type="pct"/>
            <w:vAlign w:val="center"/>
          </w:tcPr>
          <w:p w14:paraId="58F2D568">
            <w:pPr>
              <w:spacing w:line="360" w:lineRule="auto"/>
              <w:rPr>
                <w:rFonts w:hint="eastAsia" w:eastAsia="@微软简标宋"/>
                <w:color w:val="auto"/>
                <w:kern w:val="2"/>
                <w:sz w:val="21"/>
                <w:szCs w:val="22"/>
                <w:highlight w:val="none"/>
              </w:rPr>
            </w:pPr>
            <w:r>
              <w:rPr>
                <w:rFonts w:hint="eastAsia" w:cs="@仿宋_GB2312" w:asciiTheme="minorEastAsia" w:hAnsiTheme="minorEastAsia" w:eastAsiaTheme="minorEastAsia"/>
                <w:color w:val="auto"/>
                <w:kern w:val="2"/>
                <w:sz w:val="24"/>
                <w:szCs w:val="22"/>
                <w:highlight w:val="none"/>
              </w:rPr>
              <w:t>供应商最后报价均不得高于</w:t>
            </w:r>
            <w:r>
              <w:rPr>
                <w:rFonts w:hint="eastAsia" w:cs="@仿宋_GB2312" w:asciiTheme="minorEastAsia" w:hAnsiTheme="minorEastAsia" w:eastAsiaTheme="minorEastAsia"/>
                <w:color w:val="auto"/>
                <w:kern w:val="2"/>
                <w:sz w:val="24"/>
                <w:szCs w:val="22"/>
                <w:highlight w:val="none"/>
                <w:lang w:eastAsia="zh-CN"/>
              </w:rPr>
              <w:t>谈判</w:t>
            </w:r>
            <w:r>
              <w:rPr>
                <w:rFonts w:hint="eastAsia" w:cs="@仿宋_GB2312" w:asciiTheme="minorEastAsia" w:hAnsiTheme="minorEastAsia" w:eastAsiaTheme="minorEastAsia"/>
                <w:color w:val="auto"/>
                <w:kern w:val="2"/>
                <w:sz w:val="24"/>
                <w:szCs w:val="22"/>
                <w:highlight w:val="none"/>
              </w:rPr>
              <w:t>文件（公告）列明的项目预算、最高投标限价，否则其响应文件将被认定为响应无效。</w:t>
            </w:r>
          </w:p>
        </w:tc>
      </w:tr>
      <w:tr w14:paraId="50F40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pct"/>
            <w:vAlign w:val="center"/>
          </w:tcPr>
          <w:p w14:paraId="6A5527DD">
            <w:pPr>
              <w:spacing w:line="360" w:lineRule="auto"/>
              <w:jc w:val="center"/>
              <w:rPr>
                <w:rFonts w:hint="eastAsia" w:cs="@仿宋_GB2312" w:asciiTheme="minorEastAsia" w:hAnsiTheme="minorEastAsia" w:eastAsiaTheme="minorEastAsia"/>
                <w:color w:val="auto"/>
                <w:kern w:val="2"/>
                <w:sz w:val="24"/>
                <w:szCs w:val="22"/>
                <w:highlight w:val="none"/>
                <w:lang w:eastAsia="zh-CN"/>
              </w:rPr>
            </w:pPr>
            <w:r>
              <w:rPr>
                <w:rFonts w:hint="eastAsia" w:cs="@仿宋_GB2312" w:asciiTheme="minorEastAsia" w:hAnsiTheme="minorEastAsia" w:eastAsiaTheme="minorEastAsia"/>
                <w:color w:val="auto"/>
                <w:kern w:val="2"/>
                <w:sz w:val="24"/>
                <w:szCs w:val="22"/>
                <w:highlight w:val="none"/>
                <w:lang w:val="en-US" w:eastAsia="zh-CN"/>
              </w:rPr>
              <w:t>7</w:t>
            </w:r>
          </w:p>
        </w:tc>
        <w:tc>
          <w:tcPr>
            <w:tcW w:w="749" w:type="pct"/>
            <w:vAlign w:val="center"/>
          </w:tcPr>
          <w:p w14:paraId="1758D80E">
            <w:pPr>
              <w:spacing w:line="360" w:lineRule="auto"/>
              <w:rPr>
                <w:rFonts w:hint="eastAsia"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重要说明</w:t>
            </w:r>
          </w:p>
        </w:tc>
        <w:tc>
          <w:tcPr>
            <w:tcW w:w="3688" w:type="pct"/>
            <w:vAlign w:val="center"/>
          </w:tcPr>
          <w:p w14:paraId="5809B348">
            <w:pPr>
              <w:spacing w:line="360" w:lineRule="auto"/>
              <w:rPr>
                <w:rFonts w:hint="eastAsia" w:eastAsiaTheme="minorEastAsia"/>
                <w:color w:val="auto"/>
                <w:kern w:val="2"/>
                <w:sz w:val="24"/>
                <w:szCs w:val="18"/>
                <w:highlight w:val="none"/>
              </w:rPr>
            </w:pPr>
            <w:r>
              <w:rPr>
                <w:rFonts w:hint="eastAsia" w:cs="宋体" w:eastAsiaTheme="minorEastAsia"/>
                <w:color w:val="auto"/>
                <w:kern w:val="2"/>
                <w:sz w:val="24"/>
                <w:szCs w:val="24"/>
                <w:highlight w:val="none"/>
              </w:rPr>
              <w:t>1、</w:t>
            </w:r>
            <w:r>
              <w:rPr>
                <w:rFonts w:cs="宋体" w:eastAsiaTheme="minorEastAsia"/>
                <w:color w:val="auto"/>
                <w:kern w:val="2"/>
                <w:sz w:val="24"/>
                <w:szCs w:val="24"/>
                <w:highlight w:val="none"/>
              </w:rPr>
              <w:t>政府采购政策（包括但不限于下列具体政策要求</w:t>
            </w:r>
            <w:r>
              <w:rPr>
                <w:rFonts w:hint="eastAsia" w:cs="宋体" w:eastAsiaTheme="minorEastAsia"/>
                <w:color w:val="auto"/>
                <w:kern w:val="2"/>
                <w:sz w:val="24"/>
                <w:szCs w:val="24"/>
                <w:highlight w:val="none"/>
              </w:rPr>
              <w:t>）</w:t>
            </w:r>
            <w:r>
              <w:rPr>
                <w:rFonts w:hint="eastAsia" w:eastAsiaTheme="minorEastAsia"/>
                <w:color w:val="auto"/>
                <w:kern w:val="2"/>
                <w:sz w:val="24"/>
                <w:szCs w:val="18"/>
                <w:highlight w:val="none"/>
              </w:rPr>
              <w:t>：</w:t>
            </w:r>
          </w:p>
          <w:p w14:paraId="599A513B">
            <w:pPr>
              <w:spacing w:line="360" w:lineRule="auto"/>
              <w:rPr>
                <w:rFonts w:hint="eastAsia" w:cs="宋体" w:eastAsiaTheme="minorEastAsia"/>
                <w:color w:val="auto"/>
                <w:kern w:val="2"/>
                <w:sz w:val="24"/>
                <w:szCs w:val="24"/>
                <w:highlight w:val="none"/>
              </w:rPr>
            </w:pPr>
            <w:r>
              <w:rPr>
                <w:rFonts w:hint="eastAsia" w:cs="宋体" w:eastAsiaTheme="minorEastAsia"/>
                <w:color w:val="auto"/>
                <w:kern w:val="2"/>
                <w:sz w:val="24"/>
                <w:szCs w:val="24"/>
                <w:highlight w:val="none"/>
              </w:rPr>
              <w:t>（1）如属于《节能产品政府采购品目清单》中政府强制采购的节能产品，则供应商所投产品须具有市场监管总局公布的《参与实施政府采购节能产品认证机构目录》中的认证机构出具的、处于有效期内的节能产品认证证书。</w:t>
            </w:r>
          </w:p>
          <w:p w14:paraId="7F0B27FB">
            <w:pPr>
              <w:spacing w:line="360" w:lineRule="auto"/>
              <w:rPr>
                <w:rFonts w:hint="eastAsia" w:cs="@仿宋_GB2312" w:asciiTheme="minorEastAsia" w:hAnsiTheme="minorEastAsia" w:eastAsiaTheme="minorEastAsia"/>
                <w:color w:val="auto"/>
                <w:kern w:val="2"/>
                <w:sz w:val="24"/>
                <w:szCs w:val="22"/>
                <w:highlight w:val="none"/>
              </w:rPr>
            </w:pPr>
            <w:r>
              <w:rPr>
                <w:rFonts w:hint="eastAsia" w:cs="宋体" w:eastAsiaTheme="minorEastAsia"/>
                <w:color w:val="auto"/>
                <w:kern w:val="2"/>
                <w:sz w:val="24"/>
                <w:szCs w:val="24"/>
                <w:highlight w:val="none"/>
              </w:rPr>
              <w:t>（2）如涉及商品包装和快递包装，供应商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tc>
      </w:tr>
      <w:tr w14:paraId="5BA67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pct"/>
            <w:vAlign w:val="center"/>
          </w:tcPr>
          <w:p w14:paraId="10454BC9">
            <w:pPr>
              <w:spacing w:line="360" w:lineRule="auto"/>
              <w:jc w:val="center"/>
              <w:rPr>
                <w:rFonts w:hint="eastAsia" w:cs="@仿宋_GB2312" w:asciiTheme="minorEastAsia" w:hAnsiTheme="minorEastAsia" w:eastAsiaTheme="minorEastAsia"/>
                <w:color w:val="auto"/>
                <w:kern w:val="2"/>
                <w:sz w:val="24"/>
                <w:szCs w:val="22"/>
                <w:highlight w:val="none"/>
                <w:lang w:eastAsia="zh-CN"/>
              </w:rPr>
            </w:pPr>
            <w:r>
              <w:rPr>
                <w:rFonts w:hint="eastAsia" w:cs="@仿宋_GB2312" w:asciiTheme="minorEastAsia" w:hAnsiTheme="minorEastAsia" w:eastAsiaTheme="minorEastAsia"/>
                <w:color w:val="auto"/>
                <w:kern w:val="2"/>
                <w:sz w:val="24"/>
                <w:szCs w:val="22"/>
                <w:highlight w:val="none"/>
                <w:lang w:val="en-US" w:eastAsia="zh-CN"/>
              </w:rPr>
              <w:t>8</w:t>
            </w:r>
          </w:p>
        </w:tc>
        <w:tc>
          <w:tcPr>
            <w:tcW w:w="749" w:type="pct"/>
            <w:vAlign w:val="center"/>
          </w:tcPr>
          <w:p w14:paraId="0CE4AB28">
            <w:pPr>
              <w:spacing w:line="360" w:lineRule="auto"/>
              <w:rPr>
                <w:rFonts w:hint="eastAsia"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项目经理</w:t>
            </w:r>
          </w:p>
        </w:tc>
        <w:tc>
          <w:tcPr>
            <w:tcW w:w="3688" w:type="pct"/>
            <w:vAlign w:val="center"/>
          </w:tcPr>
          <w:p w14:paraId="749E6398">
            <w:pPr>
              <w:spacing w:line="360" w:lineRule="auto"/>
              <w:rPr>
                <w:rFonts w:hint="default" w:cs="宋体" w:eastAsiaTheme="minorEastAsia"/>
                <w:color w:val="auto"/>
                <w:kern w:val="2"/>
                <w:sz w:val="24"/>
                <w:szCs w:val="24"/>
                <w:highlight w:val="none"/>
                <w:lang w:val="en-US" w:eastAsia="zh-CN"/>
              </w:rPr>
            </w:pPr>
            <w:r>
              <w:rPr>
                <w:rFonts w:hint="eastAsia" w:cs="宋体" w:eastAsiaTheme="minorEastAsia"/>
                <w:color w:val="auto"/>
                <w:kern w:val="2"/>
                <w:sz w:val="24"/>
                <w:szCs w:val="24"/>
                <w:highlight w:val="none"/>
              </w:rPr>
              <w:t>拟派本工程项目经理资格要求：</w:t>
            </w:r>
            <w:r>
              <w:rPr>
                <w:rFonts w:hint="eastAsia" w:cs="宋体" w:eastAsiaTheme="minorEastAsia"/>
                <w:color w:val="auto"/>
                <w:kern w:val="2"/>
                <w:sz w:val="24"/>
                <w:szCs w:val="24"/>
                <w:highlight w:val="none"/>
                <w:lang w:val="en-US" w:eastAsia="zh-CN"/>
              </w:rPr>
              <w:t>详见竞争性谈判公告</w:t>
            </w:r>
          </w:p>
          <w:p w14:paraId="20C41305">
            <w:pPr>
              <w:spacing w:line="360" w:lineRule="auto"/>
              <w:ind w:firstLine="482" w:firstLineChars="200"/>
              <w:rPr>
                <w:rFonts w:hint="eastAsia" w:cs="@仿宋_GB2312" w:asciiTheme="minorEastAsia" w:hAnsiTheme="minorEastAsia" w:eastAsiaTheme="minorEastAsia"/>
                <w:color w:val="auto"/>
                <w:kern w:val="2"/>
                <w:sz w:val="24"/>
                <w:szCs w:val="22"/>
                <w:highlight w:val="none"/>
              </w:rPr>
            </w:pPr>
            <w:r>
              <w:rPr>
                <w:rFonts w:hint="eastAsia" w:cs="宋体"/>
                <w:b/>
                <w:bCs/>
                <w:color w:val="auto"/>
                <w:kern w:val="2"/>
                <w:sz w:val="24"/>
                <w:szCs w:val="24"/>
                <w:highlight w:val="none"/>
                <w:lang w:val="en-US" w:eastAsia="zh-CN"/>
              </w:rPr>
              <w:t>注</w:t>
            </w:r>
            <w:r>
              <w:rPr>
                <w:rFonts w:ascii="宋体" w:hAnsi="宋体" w:eastAsia="宋体" w:cs="宋体"/>
                <w:b/>
                <w:bCs/>
                <w:color w:val="auto"/>
                <w:kern w:val="2"/>
                <w:sz w:val="24"/>
                <w:szCs w:val="24"/>
                <w:highlight w:val="none"/>
              </w:rPr>
              <w:t>：响应文件中提供项目经理上述证书及</w:t>
            </w:r>
            <w:r>
              <w:rPr>
                <w:rFonts w:hint="eastAsia" w:cs="宋体"/>
                <w:b/>
                <w:bCs/>
                <w:color w:val="auto"/>
                <w:kern w:val="2"/>
                <w:sz w:val="24"/>
                <w:szCs w:val="24"/>
                <w:highlight w:val="none"/>
                <w:lang w:val="en-US" w:eastAsia="zh-CN"/>
              </w:rPr>
              <w:t>谈判</w:t>
            </w:r>
            <w:r>
              <w:rPr>
                <w:rFonts w:ascii="宋体" w:hAnsi="宋体" w:eastAsia="宋体" w:cs="宋体"/>
                <w:b/>
                <w:bCs/>
                <w:color w:val="auto"/>
                <w:kern w:val="2"/>
                <w:sz w:val="24"/>
                <w:szCs w:val="24"/>
                <w:highlight w:val="none"/>
              </w:rPr>
              <w:t>响应截止时间前三个月内任意一个月供应商（或供应商不具备独立法人资格的分支机构）所属社保机构为 其缴纳的社保缴费证明（或其他能够证明其参加社保的有效证明材料）复印件或影印件或扫描件，社保证明材料中至少能够体现养老保险</w:t>
            </w:r>
          </w:p>
        </w:tc>
      </w:tr>
      <w:tr w14:paraId="0BCA1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pct"/>
            <w:vAlign w:val="center"/>
          </w:tcPr>
          <w:p w14:paraId="25F0D557">
            <w:pPr>
              <w:spacing w:line="360" w:lineRule="auto"/>
              <w:jc w:val="center"/>
              <w:rPr>
                <w:rFonts w:hint="default" w:cs="@仿宋_GB2312" w:asciiTheme="minorEastAsia" w:hAnsiTheme="minorEastAsia" w:eastAsiaTheme="minorEastAsia"/>
                <w:color w:val="auto"/>
                <w:kern w:val="2"/>
                <w:sz w:val="24"/>
                <w:szCs w:val="22"/>
                <w:highlight w:val="none"/>
                <w:lang w:val="en-US" w:eastAsia="zh-CN"/>
              </w:rPr>
            </w:pPr>
            <w:r>
              <w:rPr>
                <w:rFonts w:hint="eastAsia" w:cs="@仿宋_GB2312" w:asciiTheme="minorEastAsia" w:hAnsiTheme="minorEastAsia" w:eastAsiaTheme="minorEastAsia"/>
                <w:color w:val="auto"/>
                <w:kern w:val="2"/>
                <w:sz w:val="24"/>
                <w:szCs w:val="22"/>
                <w:highlight w:val="none"/>
                <w:lang w:val="en-US" w:eastAsia="zh-CN"/>
              </w:rPr>
              <w:t>9</w:t>
            </w:r>
          </w:p>
        </w:tc>
        <w:tc>
          <w:tcPr>
            <w:tcW w:w="749" w:type="pct"/>
            <w:vAlign w:val="center"/>
          </w:tcPr>
          <w:p w14:paraId="2844965E">
            <w:pPr>
              <w:spacing w:line="360" w:lineRule="auto"/>
              <w:rPr>
                <w:rFonts w:hint="eastAsia" w:cs="@仿宋_GB2312" w:asciiTheme="minorEastAsia" w:hAnsiTheme="minorEastAsia" w:eastAsiaTheme="minorEastAsia"/>
                <w:color w:val="auto"/>
                <w:kern w:val="2"/>
                <w:sz w:val="24"/>
                <w:szCs w:val="22"/>
                <w:highlight w:val="none"/>
              </w:rPr>
            </w:pPr>
            <w:r>
              <w:rPr>
                <w:rFonts w:ascii="宋体" w:hAnsi="宋体" w:eastAsia="宋体" w:cs="宋体"/>
                <w:color w:val="auto"/>
                <w:kern w:val="2"/>
                <w:sz w:val="24"/>
                <w:szCs w:val="24"/>
              </w:rPr>
              <w:t>安全生产</w:t>
            </w:r>
          </w:p>
        </w:tc>
        <w:tc>
          <w:tcPr>
            <w:tcW w:w="3688" w:type="pct"/>
            <w:vAlign w:val="center"/>
          </w:tcPr>
          <w:p w14:paraId="6A2B1AB7">
            <w:pPr>
              <w:numPr>
                <w:ilvl w:val="0"/>
                <w:numId w:val="0"/>
              </w:numPr>
              <w:spacing w:line="360" w:lineRule="auto"/>
              <w:rPr>
                <w:rFonts w:ascii="宋体" w:hAnsi="宋体" w:eastAsia="宋体" w:cs="宋体"/>
                <w:color w:val="auto"/>
                <w:kern w:val="2"/>
                <w:sz w:val="24"/>
                <w:szCs w:val="24"/>
              </w:rPr>
            </w:pPr>
            <w:r>
              <w:rPr>
                <w:rFonts w:hint="eastAsia" w:ascii="宋体" w:hAnsi="宋体" w:eastAsia="宋体" w:cs="宋体"/>
                <w:color w:val="auto"/>
                <w:kern w:val="2"/>
                <w:sz w:val="24"/>
                <w:szCs w:val="24"/>
                <w:lang w:eastAsia="zh-CN"/>
              </w:rPr>
              <w:t>（</w:t>
            </w:r>
            <w:r>
              <w:rPr>
                <w:rFonts w:hint="eastAsia" w:ascii="宋体" w:hAnsi="宋体" w:eastAsia="宋体" w:cs="宋体"/>
                <w:color w:val="auto"/>
                <w:kern w:val="2"/>
                <w:sz w:val="24"/>
                <w:szCs w:val="24"/>
                <w:lang w:val="en-US" w:eastAsia="zh-CN"/>
              </w:rPr>
              <w:t>1）</w:t>
            </w:r>
            <w:r>
              <w:rPr>
                <w:rFonts w:ascii="宋体" w:hAnsi="宋体" w:eastAsia="宋体" w:cs="宋体"/>
                <w:color w:val="auto"/>
                <w:kern w:val="2"/>
                <w:sz w:val="24"/>
                <w:szCs w:val="24"/>
              </w:rPr>
              <w:t xml:space="preserve">须严格遵守《中华人民共和国安全生产法》《建设工程安全生产管理条例》等国家有关安全生产的法律法规、《建设项目安全设施“三同时”监督管理办法》等有关安全生产的规定。认真执行工程承包合同中的有关安全要求； </w:t>
            </w:r>
          </w:p>
          <w:p w14:paraId="6267BEA8">
            <w:pPr>
              <w:numPr>
                <w:ilvl w:val="0"/>
                <w:numId w:val="0"/>
              </w:numPr>
              <w:spacing w:line="360" w:lineRule="auto"/>
              <w:rPr>
                <w:rFonts w:hint="eastAsia" w:cs="宋体"/>
                <w:b/>
                <w:bCs/>
                <w:color w:val="auto"/>
                <w:kern w:val="2"/>
                <w:sz w:val="24"/>
                <w:szCs w:val="24"/>
                <w:highlight w:val="none"/>
                <w:lang w:val="en-US" w:eastAsia="zh-CN"/>
              </w:rPr>
            </w:pPr>
            <w:r>
              <w:rPr>
                <w:rFonts w:ascii="宋体" w:hAnsi="宋体" w:eastAsia="宋体" w:cs="宋体"/>
                <w:color w:val="auto"/>
                <w:kern w:val="2"/>
                <w:sz w:val="24"/>
                <w:szCs w:val="24"/>
              </w:rPr>
              <w:t>（2）坚持“安全第一、预防为主”和“管生产必须管安全” 的原则，加强安全生产宣传教育，增强全员安全生产意识， 建立健全各项安全生产的管理机构和安全生产管理制度，配备专职及兼职安全检查人员，有组织有领导地开展安全生产活动。</w:t>
            </w:r>
          </w:p>
        </w:tc>
      </w:tr>
    </w:tbl>
    <w:p w14:paraId="465543D3">
      <w:pPr>
        <w:numPr>
          <w:ilvl w:val="0"/>
          <w:numId w:val="0"/>
        </w:numPr>
        <w:spacing w:line="240" w:lineRule="auto"/>
        <w:jc w:val="both"/>
        <w:outlineLvl w:val="0"/>
        <w:rPr>
          <w:rFonts w:hint="eastAsia" w:asciiTheme="minorEastAsia" w:hAnsiTheme="minorEastAsia" w:eastAsiaTheme="minorEastAsia"/>
          <w:b/>
          <w:color w:val="auto"/>
          <w:sz w:val="24"/>
          <w:szCs w:val="24"/>
          <w:highlight w:val="none"/>
          <w:lang w:val="en-US" w:eastAsia="zh-CN"/>
        </w:rPr>
      </w:pPr>
    </w:p>
    <w:p w14:paraId="081D6AC8">
      <w:pPr>
        <w:numPr>
          <w:ilvl w:val="0"/>
          <w:numId w:val="0"/>
        </w:numPr>
        <w:spacing w:line="240" w:lineRule="auto"/>
        <w:jc w:val="both"/>
        <w:outlineLvl w:val="0"/>
        <w:rPr>
          <w:rFonts w:hint="default" w:asciiTheme="minorEastAsia" w:hAnsiTheme="minorEastAsia" w:eastAsiaTheme="minorEastAsia"/>
          <w:b/>
          <w:color w:val="auto"/>
          <w:sz w:val="24"/>
          <w:szCs w:val="24"/>
          <w:highlight w:val="none"/>
          <w:lang w:val="en-US" w:eastAsia="zh-CN"/>
        </w:rPr>
      </w:pPr>
      <w:r>
        <w:rPr>
          <w:rFonts w:hint="eastAsia" w:asciiTheme="minorEastAsia" w:hAnsiTheme="minorEastAsia" w:eastAsiaTheme="minorEastAsia"/>
          <w:b/>
          <w:color w:val="auto"/>
          <w:sz w:val="24"/>
          <w:szCs w:val="24"/>
          <w:highlight w:val="none"/>
          <w:lang w:val="en-US" w:eastAsia="zh-CN"/>
        </w:rPr>
        <w:t>二、</w:t>
      </w:r>
    </w:p>
    <w:tbl>
      <w:tblPr>
        <w:tblStyle w:val="2"/>
        <w:tblpPr w:leftFromText="180" w:rightFromText="180" w:vertAnchor="text" w:horzAnchor="page" w:tblpX="1212" w:tblpY="616"/>
        <w:tblOverlap w:val="never"/>
        <w:tblW w:w="96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65"/>
        <w:gridCol w:w="1065"/>
        <w:gridCol w:w="6263"/>
        <w:gridCol w:w="795"/>
        <w:gridCol w:w="735"/>
      </w:tblGrid>
      <w:tr w14:paraId="32DFE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62" w:hRule="atLeast"/>
        </w:trPr>
        <w:tc>
          <w:tcPr>
            <w:tcW w:w="765" w:type="dxa"/>
            <w:noWrap/>
            <w:vAlign w:val="center"/>
          </w:tcPr>
          <w:p w14:paraId="27C11317">
            <w:pPr>
              <w:jc w:val="center"/>
              <w:rPr>
                <w:rFonts w:hint="eastAsia" w:ascii="宋体" w:cs="宋体"/>
                <w:b/>
                <w:bCs w:val="0"/>
                <w:sz w:val="24"/>
                <w:szCs w:val="24"/>
              </w:rPr>
            </w:pPr>
            <w:r>
              <w:rPr>
                <w:rFonts w:hint="eastAsia" w:ascii="宋体" w:cs="宋体"/>
                <w:b/>
                <w:bCs w:val="0"/>
                <w:sz w:val="24"/>
                <w:szCs w:val="24"/>
              </w:rPr>
              <w:t>序号</w:t>
            </w:r>
          </w:p>
        </w:tc>
        <w:tc>
          <w:tcPr>
            <w:tcW w:w="1065" w:type="dxa"/>
            <w:noWrap/>
            <w:vAlign w:val="center"/>
          </w:tcPr>
          <w:p w14:paraId="482C24D2">
            <w:pPr>
              <w:jc w:val="center"/>
              <w:rPr>
                <w:rFonts w:hint="eastAsia" w:ascii="宋体" w:cs="宋体"/>
                <w:b/>
                <w:bCs w:val="0"/>
                <w:sz w:val="24"/>
                <w:szCs w:val="24"/>
              </w:rPr>
            </w:pPr>
            <w:r>
              <w:rPr>
                <w:rFonts w:hint="eastAsia" w:ascii="宋体" w:cs="宋体"/>
                <w:b/>
                <w:bCs w:val="0"/>
                <w:sz w:val="24"/>
                <w:szCs w:val="24"/>
              </w:rPr>
              <w:t>货物名称</w:t>
            </w:r>
          </w:p>
        </w:tc>
        <w:tc>
          <w:tcPr>
            <w:tcW w:w="6263" w:type="dxa"/>
            <w:noWrap/>
            <w:vAlign w:val="center"/>
          </w:tcPr>
          <w:p w14:paraId="4DA97CCE">
            <w:pPr>
              <w:widowControl/>
              <w:jc w:val="left"/>
              <w:rPr>
                <w:rFonts w:hint="eastAsia" w:ascii="宋体" w:cs="宋体"/>
                <w:b/>
                <w:bCs w:val="0"/>
                <w:kern w:val="0"/>
                <w:sz w:val="24"/>
                <w:szCs w:val="24"/>
              </w:rPr>
            </w:pPr>
            <w:r>
              <w:rPr>
                <w:rFonts w:hint="eastAsia" w:ascii="宋体" w:cs="宋体"/>
                <w:b/>
                <w:bCs w:val="0"/>
                <w:kern w:val="0"/>
                <w:sz w:val="24"/>
                <w:szCs w:val="24"/>
              </w:rPr>
              <w:t>技术参数</w:t>
            </w:r>
          </w:p>
        </w:tc>
        <w:tc>
          <w:tcPr>
            <w:tcW w:w="795" w:type="dxa"/>
            <w:noWrap/>
            <w:vAlign w:val="center"/>
          </w:tcPr>
          <w:p w14:paraId="3D0F7EB5">
            <w:pPr>
              <w:jc w:val="center"/>
              <w:rPr>
                <w:rFonts w:hint="eastAsia" w:ascii="宋体" w:cs="宋体"/>
                <w:b/>
                <w:bCs w:val="0"/>
                <w:sz w:val="24"/>
                <w:szCs w:val="24"/>
              </w:rPr>
            </w:pPr>
            <w:r>
              <w:rPr>
                <w:rFonts w:hint="eastAsia" w:ascii="宋体" w:cs="宋体"/>
                <w:b/>
                <w:bCs w:val="0"/>
                <w:sz w:val="24"/>
                <w:szCs w:val="24"/>
              </w:rPr>
              <w:t>数量</w:t>
            </w:r>
          </w:p>
        </w:tc>
        <w:tc>
          <w:tcPr>
            <w:tcW w:w="735" w:type="dxa"/>
            <w:noWrap/>
            <w:vAlign w:val="center"/>
          </w:tcPr>
          <w:p w14:paraId="2F6CEA3B">
            <w:pPr>
              <w:jc w:val="center"/>
              <w:rPr>
                <w:rFonts w:hint="eastAsia" w:ascii="宋体" w:cs="宋体"/>
                <w:b/>
                <w:bCs w:val="0"/>
                <w:sz w:val="24"/>
                <w:szCs w:val="24"/>
              </w:rPr>
            </w:pPr>
            <w:r>
              <w:rPr>
                <w:rFonts w:hint="eastAsia" w:ascii="宋体" w:cs="宋体"/>
                <w:b/>
                <w:bCs w:val="0"/>
                <w:sz w:val="24"/>
                <w:szCs w:val="24"/>
              </w:rPr>
              <w:t>单位</w:t>
            </w:r>
          </w:p>
        </w:tc>
      </w:tr>
      <w:tr w14:paraId="0AA8F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765" w:type="dxa"/>
            <w:noWrap/>
            <w:vAlign w:val="center"/>
          </w:tcPr>
          <w:p w14:paraId="30CBB164">
            <w:pPr>
              <w:widowControl/>
              <w:jc w:val="center"/>
              <w:rPr>
                <w:rFonts w:hint="eastAsia" w:ascii="宋体" w:cs="宋体"/>
                <w:bCs/>
                <w:kern w:val="0"/>
                <w:sz w:val="24"/>
                <w:szCs w:val="24"/>
              </w:rPr>
            </w:pPr>
            <w:r>
              <w:rPr>
                <w:rFonts w:hint="eastAsia" w:ascii="宋体" w:cs="宋体"/>
                <w:bCs/>
                <w:kern w:val="0"/>
                <w:sz w:val="24"/>
                <w:szCs w:val="24"/>
              </w:rPr>
              <w:t>1</w:t>
            </w:r>
          </w:p>
        </w:tc>
        <w:tc>
          <w:tcPr>
            <w:tcW w:w="1065" w:type="dxa"/>
            <w:noWrap/>
            <w:vAlign w:val="center"/>
          </w:tcPr>
          <w:p w14:paraId="47AE3834">
            <w:pPr>
              <w:widowControl/>
              <w:jc w:val="center"/>
              <w:rPr>
                <w:rFonts w:hint="eastAsia" w:ascii="宋体" w:cs="宋体"/>
                <w:bCs/>
                <w:kern w:val="0"/>
                <w:sz w:val="24"/>
                <w:szCs w:val="24"/>
              </w:rPr>
            </w:pPr>
            <w:r>
              <w:rPr>
                <w:rFonts w:hint="eastAsia" w:ascii="宋体" w:cs="宋体"/>
                <w:bCs/>
                <w:kern w:val="0"/>
                <w:sz w:val="24"/>
                <w:szCs w:val="24"/>
              </w:rPr>
              <w:t>龙门架</w:t>
            </w:r>
          </w:p>
        </w:tc>
        <w:tc>
          <w:tcPr>
            <w:tcW w:w="6263" w:type="dxa"/>
            <w:noWrap/>
            <w:vAlign w:val="center"/>
          </w:tcPr>
          <w:p w14:paraId="6312AE66">
            <w:pPr>
              <w:widowControl/>
              <w:jc w:val="left"/>
              <w:rPr>
                <w:rFonts w:hint="eastAsia" w:ascii="宋体" w:cs="宋体"/>
                <w:bCs/>
                <w:kern w:val="0"/>
                <w:sz w:val="24"/>
                <w:szCs w:val="24"/>
              </w:rPr>
            </w:pPr>
            <w:r>
              <w:rPr>
                <w:rFonts w:hint="eastAsia" w:ascii="宋体" w:cs="宋体"/>
                <w:bCs/>
                <w:kern w:val="0"/>
                <w:sz w:val="24"/>
                <w:szCs w:val="24"/>
              </w:rPr>
              <w:t>1、阻力形式：杠铃片</w:t>
            </w:r>
          </w:p>
          <w:p w14:paraId="09DDEE87">
            <w:pPr>
              <w:widowControl/>
              <w:jc w:val="left"/>
              <w:rPr>
                <w:rFonts w:hint="eastAsia" w:ascii="宋体" w:cs="宋体"/>
                <w:bCs/>
                <w:kern w:val="0"/>
                <w:sz w:val="24"/>
                <w:szCs w:val="24"/>
              </w:rPr>
            </w:pPr>
            <w:r>
              <w:rPr>
                <w:rFonts w:hint="eastAsia" w:ascii="宋体" w:cs="宋体"/>
                <w:bCs/>
                <w:kern w:val="0"/>
                <w:sz w:val="24"/>
                <w:szCs w:val="24"/>
              </w:rPr>
              <w:t>2、最大人体承重：≤150kg</w:t>
            </w:r>
          </w:p>
          <w:p w14:paraId="720159EC">
            <w:pPr>
              <w:widowControl/>
              <w:jc w:val="left"/>
              <w:rPr>
                <w:rFonts w:hint="eastAsia" w:ascii="宋体" w:cs="宋体"/>
                <w:bCs/>
                <w:kern w:val="0"/>
                <w:sz w:val="24"/>
                <w:szCs w:val="24"/>
              </w:rPr>
            </w:pPr>
            <w:r>
              <w:rPr>
                <w:rFonts w:hint="eastAsia" w:ascii="宋体" w:cs="宋体"/>
                <w:bCs/>
                <w:kern w:val="0"/>
                <w:sz w:val="24"/>
                <w:szCs w:val="24"/>
              </w:rPr>
              <w:t>3、主要管材规格：材质：Q235A；矩形管≥125×75×t4.0mm</w:t>
            </w:r>
          </w:p>
          <w:p w14:paraId="71B94AE0">
            <w:pPr>
              <w:widowControl/>
              <w:jc w:val="left"/>
              <w:rPr>
                <w:rFonts w:hint="eastAsia" w:ascii="宋体" w:cs="宋体"/>
                <w:bCs/>
                <w:kern w:val="0"/>
                <w:sz w:val="24"/>
                <w:szCs w:val="24"/>
              </w:rPr>
            </w:pPr>
            <w:r>
              <w:rPr>
                <w:rFonts w:hint="eastAsia" w:ascii="宋体" w:cs="宋体"/>
                <w:bCs/>
                <w:kern w:val="0"/>
                <w:sz w:val="24"/>
                <w:szCs w:val="24"/>
              </w:rPr>
              <w:t>4、轴承：深沟球轴承6005</w:t>
            </w:r>
          </w:p>
          <w:p w14:paraId="7C854851">
            <w:pPr>
              <w:widowControl/>
              <w:jc w:val="left"/>
              <w:rPr>
                <w:rFonts w:hint="eastAsia" w:ascii="宋体" w:cs="宋体"/>
                <w:bCs/>
                <w:kern w:val="0"/>
                <w:sz w:val="24"/>
                <w:szCs w:val="24"/>
              </w:rPr>
            </w:pPr>
            <w:r>
              <w:rPr>
                <w:rFonts w:hint="eastAsia" w:ascii="宋体" w:cs="宋体"/>
                <w:bCs/>
                <w:kern w:val="0"/>
                <w:sz w:val="24"/>
                <w:szCs w:val="24"/>
              </w:rPr>
              <w:t>5、手把：黑色；PVC材质</w:t>
            </w:r>
          </w:p>
          <w:p w14:paraId="0500ABC9">
            <w:pPr>
              <w:widowControl/>
              <w:jc w:val="left"/>
              <w:rPr>
                <w:rFonts w:hint="eastAsia" w:ascii="宋体" w:cs="宋体"/>
                <w:bCs/>
                <w:kern w:val="0"/>
                <w:sz w:val="24"/>
                <w:szCs w:val="24"/>
              </w:rPr>
            </w:pPr>
            <w:r>
              <w:rPr>
                <w:rFonts w:hint="eastAsia" w:ascii="宋体" w:cs="宋体"/>
                <w:bCs/>
                <w:kern w:val="0"/>
                <w:sz w:val="24"/>
                <w:szCs w:val="24"/>
              </w:rPr>
              <w:t>6、端盖：铝合金；阳极氧化</w:t>
            </w:r>
          </w:p>
          <w:p w14:paraId="5EB1123A">
            <w:pPr>
              <w:widowControl/>
              <w:jc w:val="left"/>
              <w:rPr>
                <w:rFonts w:hint="eastAsia" w:ascii="宋体" w:cs="宋体"/>
                <w:bCs/>
                <w:kern w:val="0"/>
                <w:sz w:val="24"/>
                <w:szCs w:val="24"/>
              </w:rPr>
            </w:pPr>
            <w:r>
              <w:rPr>
                <w:rFonts w:hint="eastAsia" w:ascii="宋体" w:cs="宋体"/>
                <w:bCs/>
                <w:kern w:val="0"/>
                <w:sz w:val="24"/>
                <w:szCs w:val="24"/>
              </w:rPr>
              <w:t>7、紧固件：碳钢镀黑锌</w:t>
            </w:r>
          </w:p>
          <w:p w14:paraId="77F1A49A">
            <w:pPr>
              <w:widowControl/>
              <w:jc w:val="left"/>
              <w:rPr>
                <w:rFonts w:hint="eastAsia" w:ascii="宋体" w:cs="宋体"/>
                <w:bCs/>
                <w:kern w:val="0"/>
                <w:sz w:val="24"/>
                <w:szCs w:val="24"/>
              </w:rPr>
            </w:pPr>
            <w:r>
              <w:rPr>
                <w:rFonts w:hint="eastAsia" w:ascii="宋体" w:cs="宋体"/>
                <w:bCs/>
                <w:kern w:val="0"/>
                <w:sz w:val="24"/>
                <w:szCs w:val="24"/>
              </w:rPr>
              <w:t>8、净重：≥210kg；毛重：≥236kg</w:t>
            </w:r>
          </w:p>
          <w:p w14:paraId="77F3E353">
            <w:pPr>
              <w:widowControl/>
              <w:jc w:val="left"/>
              <w:rPr>
                <w:rFonts w:hint="eastAsia" w:ascii="宋体" w:cs="宋体"/>
                <w:bCs/>
                <w:kern w:val="0"/>
                <w:sz w:val="24"/>
                <w:szCs w:val="24"/>
              </w:rPr>
            </w:pPr>
            <w:r>
              <w:rPr>
                <w:rFonts w:hint="eastAsia" w:ascii="宋体" w:cs="宋体"/>
                <w:bCs/>
                <w:kern w:val="0"/>
                <w:sz w:val="24"/>
                <w:szCs w:val="24"/>
              </w:rPr>
              <w:t>9、执行标准：GB17498.1-2008、GB17498.2-2008</w:t>
            </w:r>
          </w:p>
          <w:p w14:paraId="335DEE91">
            <w:pPr>
              <w:widowControl/>
              <w:jc w:val="left"/>
              <w:rPr>
                <w:rFonts w:hint="eastAsia" w:ascii="宋体" w:cs="宋体"/>
                <w:bCs/>
                <w:kern w:val="0"/>
                <w:sz w:val="24"/>
                <w:szCs w:val="24"/>
              </w:rPr>
            </w:pPr>
            <w:r>
              <w:rPr>
                <w:rFonts w:hint="eastAsia" w:cs="宋体"/>
                <w:sz w:val="24"/>
                <w:szCs w:val="24"/>
              </w:rPr>
              <w:t>10、产品获得第三方机构出具的符合执行标准的质检报告和认证证书，并已投保产品责任险、意外伤害险、公众责任险和产品质量险。</w:t>
            </w:r>
          </w:p>
        </w:tc>
        <w:tc>
          <w:tcPr>
            <w:tcW w:w="795" w:type="dxa"/>
            <w:noWrap/>
            <w:vAlign w:val="center"/>
          </w:tcPr>
          <w:p w14:paraId="4A609607">
            <w:pPr>
              <w:widowControl/>
              <w:jc w:val="center"/>
              <w:rPr>
                <w:rFonts w:hint="eastAsia" w:ascii="宋体" w:cs="宋体"/>
                <w:bCs/>
                <w:kern w:val="0"/>
                <w:sz w:val="24"/>
                <w:szCs w:val="24"/>
              </w:rPr>
            </w:pPr>
            <w:r>
              <w:rPr>
                <w:rFonts w:hint="eastAsia" w:ascii="宋体" w:cs="宋体"/>
                <w:bCs/>
                <w:kern w:val="0"/>
                <w:sz w:val="24"/>
                <w:szCs w:val="24"/>
              </w:rPr>
              <w:t>1</w:t>
            </w:r>
          </w:p>
        </w:tc>
        <w:tc>
          <w:tcPr>
            <w:tcW w:w="735" w:type="dxa"/>
            <w:noWrap/>
            <w:vAlign w:val="center"/>
          </w:tcPr>
          <w:p w14:paraId="08C21CCB">
            <w:pPr>
              <w:widowControl/>
              <w:jc w:val="center"/>
              <w:rPr>
                <w:rFonts w:hint="eastAsia" w:ascii="宋体" w:cs="宋体"/>
                <w:bCs/>
                <w:kern w:val="0"/>
                <w:sz w:val="24"/>
                <w:szCs w:val="24"/>
              </w:rPr>
            </w:pPr>
            <w:r>
              <w:rPr>
                <w:rFonts w:hint="eastAsia" w:ascii="宋体" w:cs="宋体"/>
                <w:bCs/>
                <w:kern w:val="0"/>
                <w:sz w:val="24"/>
                <w:szCs w:val="24"/>
              </w:rPr>
              <w:t>台</w:t>
            </w:r>
          </w:p>
        </w:tc>
      </w:tr>
      <w:tr w14:paraId="6BA87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765" w:type="dxa"/>
            <w:noWrap/>
            <w:vAlign w:val="center"/>
          </w:tcPr>
          <w:p w14:paraId="45D3BAEF">
            <w:pPr>
              <w:widowControl/>
              <w:jc w:val="center"/>
              <w:rPr>
                <w:rFonts w:hint="eastAsia" w:ascii="宋体" w:cs="宋体"/>
                <w:bCs/>
                <w:kern w:val="0"/>
                <w:sz w:val="24"/>
                <w:szCs w:val="24"/>
              </w:rPr>
            </w:pPr>
            <w:r>
              <w:rPr>
                <w:rFonts w:hint="eastAsia" w:ascii="宋体" w:cs="宋体"/>
                <w:bCs/>
                <w:kern w:val="0"/>
                <w:sz w:val="24"/>
                <w:szCs w:val="24"/>
              </w:rPr>
              <w:t>2</w:t>
            </w:r>
          </w:p>
        </w:tc>
        <w:tc>
          <w:tcPr>
            <w:tcW w:w="1065" w:type="dxa"/>
            <w:noWrap/>
            <w:vAlign w:val="center"/>
          </w:tcPr>
          <w:p w14:paraId="6FF377D0">
            <w:pPr>
              <w:widowControl/>
              <w:jc w:val="center"/>
              <w:rPr>
                <w:rFonts w:hint="eastAsia" w:ascii="宋体" w:cs="宋体"/>
                <w:bCs/>
                <w:kern w:val="0"/>
                <w:sz w:val="24"/>
                <w:szCs w:val="24"/>
              </w:rPr>
            </w:pPr>
            <w:r>
              <w:rPr>
                <w:rFonts w:hint="eastAsia" w:ascii="宋体" w:cs="宋体"/>
                <w:bCs/>
                <w:color w:val="000000"/>
                <w:sz w:val="24"/>
                <w:szCs w:val="24"/>
                <w:shd w:val="clear" w:color="auto" w:fill="FFFFFF"/>
              </w:rPr>
              <w:t>海豹划船椅（专业卧拉凳）</w:t>
            </w:r>
          </w:p>
        </w:tc>
        <w:tc>
          <w:tcPr>
            <w:tcW w:w="6263" w:type="dxa"/>
            <w:noWrap/>
            <w:vAlign w:val="center"/>
          </w:tcPr>
          <w:p w14:paraId="0CFB86CC">
            <w:pPr>
              <w:widowControl/>
              <w:jc w:val="left"/>
              <w:rPr>
                <w:rFonts w:hint="eastAsia" w:ascii="宋体" w:cs="宋体"/>
                <w:bCs/>
                <w:kern w:val="0"/>
                <w:sz w:val="24"/>
                <w:szCs w:val="24"/>
              </w:rPr>
            </w:pPr>
            <w:r>
              <w:rPr>
                <w:rFonts w:hint="eastAsia" w:ascii="宋体" w:cs="宋体"/>
                <w:bCs/>
                <w:kern w:val="0"/>
                <w:sz w:val="24"/>
                <w:szCs w:val="24"/>
              </w:rPr>
              <w:t>1、承重：≥800Kg</w:t>
            </w:r>
          </w:p>
          <w:p w14:paraId="1507E789">
            <w:pPr>
              <w:widowControl/>
              <w:jc w:val="left"/>
              <w:rPr>
                <w:rFonts w:hint="eastAsia" w:ascii="宋体" w:cs="宋体"/>
                <w:bCs/>
                <w:kern w:val="0"/>
                <w:sz w:val="24"/>
                <w:szCs w:val="24"/>
              </w:rPr>
            </w:pPr>
            <w:r>
              <w:rPr>
                <w:rFonts w:hint="eastAsia" w:ascii="宋体" w:cs="宋体"/>
                <w:bCs/>
                <w:kern w:val="0"/>
                <w:sz w:val="24"/>
                <w:szCs w:val="24"/>
              </w:rPr>
              <w:t>2、管材：≥75*75*3mm</w:t>
            </w:r>
          </w:p>
          <w:p w14:paraId="4D7A531D">
            <w:pPr>
              <w:widowControl/>
              <w:jc w:val="left"/>
              <w:rPr>
                <w:rFonts w:hint="eastAsia" w:ascii="宋体" w:cs="宋体"/>
                <w:bCs/>
                <w:kern w:val="0"/>
                <w:sz w:val="24"/>
                <w:szCs w:val="24"/>
              </w:rPr>
            </w:pPr>
            <w:r>
              <w:rPr>
                <w:rFonts w:hint="eastAsia" w:ascii="宋体" w:cs="宋体"/>
                <w:bCs/>
                <w:kern w:val="0"/>
                <w:sz w:val="24"/>
                <w:szCs w:val="24"/>
              </w:rPr>
              <w:t>3、颜色：支持定制</w:t>
            </w:r>
          </w:p>
          <w:p w14:paraId="58FD9962">
            <w:pPr>
              <w:widowControl/>
              <w:jc w:val="left"/>
              <w:rPr>
                <w:rFonts w:hint="eastAsia" w:ascii="宋体" w:cs="宋体"/>
                <w:bCs/>
                <w:kern w:val="0"/>
                <w:sz w:val="24"/>
                <w:szCs w:val="24"/>
              </w:rPr>
            </w:pPr>
            <w:r>
              <w:rPr>
                <w:rFonts w:hint="eastAsia" w:ascii="宋体" w:cs="宋体"/>
                <w:bCs/>
                <w:kern w:val="0"/>
                <w:sz w:val="24"/>
                <w:szCs w:val="24"/>
              </w:rPr>
              <w:t>4、净重：≥88Kg</w:t>
            </w:r>
          </w:p>
        </w:tc>
        <w:tc>
          <w:tcPr>
            <w:tcW w:w="795" w:type="dxa"/>
            <w:noWrap/>
            <w:vAlign w:val="center"/>
          </w:tcPr>
          <w:p w14:paraId="0A369D92">
            <w:pPr>
              <w:widowControl/>
              <w:jc w:val="center"/>
              <w:rPr>
                <w:rFonts w:hint="eastAsia" w:ascii="宋体" w:cs="宋体"/>
                <w:bCs/>
                <w:kern w:val="0"/>
                <w:sz w:val="24"/>
                <w:szCs w:val="24"/>
              </w:rPr>
            </w:pPr>
            <w:r>
              <w:rPr>
                <w:rFonts w:hint="eastAsia" w:ascii="宋体" w:cs="宋体"/>
                <w:bCs/>
                <w:kern w:val="0"/>
                <w:sz w:val="24"/>
                <w:szCs w:val="24"/>
              </w:rPr>
              <w:t>2</w:t>
            </w:r>
          </w:p>
        </w:tc>
        <w:tc>
          <w:tcPr>
            <w:tcW w:w="735" w:type="dxa"/>
            <w:noWrap/>
            <w:vAlign w:val="center"/>
          </w:tcPr>
          <w:p w14:paraId="261AD379">
            <w:pPr>
              <w:widowControl/>
              <w:jc w:val="center"/>
              <w:rPr>
                <w:rFonts w:hint="eastAsia" w:ascii="宋体" w:cs="宋体"/>
                <w:bCs/>
                <w:kern w:val="0"/>
                <w:sz w:val="24"/>
                <w:szCs w:val="24"/>
              </w:rPr>
            </w:pPr>
            <w:r>
              <w:rPr>
                <w:rFonts w:hint="eastAsia" w:ascii="宋体" w:cs="宋体"/>
                <w:bCs/>
                <w:kern w:val="0"/>
                <w:sz w:val="24"/>
                <w:szCs w:val="24"/>
              </w:rPr>
              <w:t>台</w:t>
            </w:r>
          </w:p>
        </w:tc>
      </w:tr>
      <w:tr w14:paraId="5188E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765" w:type="dxa"/>
            <w:noWrap/>
            <w:vAlign w:val="center"/>
          </w:tcPr>
          <w:p w14:paraId="6FEF22F6">
            <w:pPr>
              <w:widowControl/>
              <w:jc w:val="center"/>
              <w:rPr>
                <w:rFonts w:hint="eastAsia" w:ascii="宋体" w:cs="宋体"/>
                <w:bCs/>
                <w:kern w:val="0"/>
                <w:sz w:val="24"/>
                <w:szCs w:val="24"/>
              </w:rPr>
            </w:pPr>
            <w:r>
              <w:rPr>
                <w:rFonts w:hint="eastAsia" w:ascii="宋体" w:cs="宋体"/>
                <w:bCs/>
                <w:kern w:val="0"/>
                <w:sz w:val="24"/>
                <w:szCs w:val="24"/>
              </w:rPr>
              <w:t>3</w:t>
            </w:r>
          </w:p>
        </w:tc>
        <w:tc>
          <w:tcPr>
            <w:tcW w:w="1065" w:type="dxa"/>
            <w:noWrap/>
            <w:vAlign w:val="center"/>
          </w:tcPr>
          <w:p w14:paraId="4F7D04AF">
            <w:pPr>
              <w:widowControl/>
              <w:rPr>
                <w:rFonts w:hint="eastAsia" w:ascii="宋体" w:cs="宋体"/>
                <w:bCs/>
                <w:kern w:val="0"/>
                <w:sz w:val="24"/>
                <w:szCs w:val="24"/>
              </w:rPr>
            </w:pPr>
            <w:r>
              <w:rPr>
                <w:rFonts w:hint="eastAsia" w:ascii="宋体" w:cs="宋体"/>
                <w:bCs/>
                <w:kern w:val="0"/>
                <w:sz w:val="24"/>
                <w:szCs w:val="24"/>
              </w:rPr>
              <w:t>软式药球（6Kg）</w:t>
            </w:r>
          </w:p>
        </w:tc>
        <w:tc>
          <w:tcPr>
            <w:tcW w:w="6263" w:type="dxa"/>
            <w:noWrap/>
            <w:vAlign w:val="center"/>
          </w:tcPr>
          <w:p w14:paraId="1618B285">
            <w:pPr>
              <w:widowControl/>
              <w:tabs>
                <w:tab w:val="left" w:pos="980"/>
              </w:tabs>
              <w:jc w:val="left"/>
              <w:rPr>
                <w:rFonts w:hint="eastAsia" w:ascii="宋体" w:cs="宋体"/>
                <w:bCs/>
                <w:kern w:val="0"/>
                <w:sz w:val="24"/>
                <w:szCs w:val="24"/>
              </w:rPr>
            </w:pPr>
            <w:r>
              <w:rPr>
                <w:rFonts w:hint="eastAsia" w:ascii="宋体" w:cs="宋体"/>
                <w:bCs/>
                <w:kern w:val="0"/>
                <w:sz w:val="24"/>
                <w:szCs w:val="24"/>
              </w:rPr>
              <w:t>1、材质：纯天然橡胶制成，球体内部要求配有防裂网层。</w:t>
            </w:r>
          </w:p>
          <w:p w14:paraId="230AB1B2">
            <w:pPr>
              <w:widowControl/>
              <w:tabs>
                <w:tab w:val="left" w:pos="980"/>
              </w:tabs>
              <w:jc w:val="left"/>
              <w:rPr>
                <w:rFonts w:hint="eastAsia" w:ascii="宋体" w:cs="宋体"/>
                <w:bCs/>
                <w:kern w:val="0"/>
                <w:sz w:val="24"/>
                <w:szCs w:val="24"/>
              </w:rPr>
            </w:pPr>
            <w:r>
              <w:rPr>
                <w:rFonts w:hint="eastAsia" w:ascii="宋体" w:cs="宋体"/>
                <w:bCs/>
                <w:kern w:val="0"/>
                <w:sz w:val="24"/>
                <w:szCs w:val="24"/>
              </w:rPr>
              <w:t>2、产品特点：高含胶量，耐摔，弹性足。磨砂表面，设计纹理防滑。</w:t>
            </w:r>
          </w:p>
        </w:tc>
        <w:tc>
          <w:tcPr>
            <w:tcW w:w="795" w:type="dxa"/>
            <w:noWrap/>
            <w:vAlign w:val="center"/>
          </w:tcPr>
          <w:p w14:paraId="16D11DFD">
            <w:pPr>
              <w:widowControl/>
              <w:jc w:val="center"/>
              <w:rPr>
                <w:rFonts w:hint="eastAsia" w:ascii="宋体" w:cs="宋体"/>
                <w:bCs/>
                <w:kern w:val="0"/>
                <w:sz w:val="24"/>
                <w:szCs w:val="24"/>
              </w:rPr>
            </w:pPr>
            <w:r>
              <w:rPr>
                <w:rFonts w:hint="eastAsia" w:ascii="宋体" w:cs="宋体"/>
                <w:bCs/>
                <w:kern w:val="0"/>
                <w:sz w:val="24"/>
                <w:szCs w:val="24"/>
              </w:rPr>
              <w:t>12</w:t>
            </w:r>
          </w:p>
        </w:tc>
        <w:tc>
          <w:tcPr>
            <w:tcW w:w="735" w:type="dxa"/>
            <w:noWrap/>
            <w:vAlign w:val="center"/>
          </w:tcPr>
          <w:p w14:paraId="784541B2">
            <w:pPr>
              <w:widowControl/>
              <w:jc w:val="center"/>
              <w:rPr>
                <w:rFonts w:hint="eastAsia" w:ascii="宋体" w:cs="宋体"/>
                <w:bCs/>
                <w:kern w:val="0"/>
                <w:sz w:val="24"/>
                <w:szCs w:val="24"/>
              </w:rPr>
            </w:pPr>
            <w:r>
              <w:rPr>
                <w:rFonts w:hint="eastAsia" w:ascii="宋体" w:cs="宋体"/>
                <w:bCs/>
                <w:kern w:val="0"/>
                <w:sz w:val="24"/>
                <w:szCs w:val="24"/>
              </w:rPr>
              <w:t>个</w:t>
            </w:r>
          </w:p>
        </w:tc>
      </w:tr>
      <w:tr w14:paraId="2CE5B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765" w:type="dxa"/>
            <w:noWrap/>
            <w:vAlign w:val="center"/>
          </w:tcPr>
          <w:p w14:paraId="6ECBB876">
            <w:pPr>
              <w:widowControl/>
              <w:jc w:val="center"/>
              <w:rPr>
                <w:rFonts w:hint="eastAsia" w:ascii="宋体" w:cs="宋体"/>
                <w:bCs/>
                <w:kern w:val="0"/>
                <w:sz w:val="24"/>
                <w:szCs w:val="24"/>
              </w:rPr>
            </w:pPr>
            <w:r>
              <w:rPr>
                <w:rFonts w:hint="eastAsia" w:ascii="宋体" w:cs="宋体"/>
                <w:bCs/>
                <w:kern w:val="0"/>
                <w:sz w:val="24"/>
                <w:szCs w:val="24"/>
              </w:rPr>
              <w:t>4</w:t>
            </w:r>
          </w:p>
        </w:tc>
        <w:tc>
          <w:tcPr>
            <w:tcW w:w="1065" w:type="dxa"/>
            <w:noWrap/>
            <w:vAlign w:val="center"/>
          </w:tcPr>
          <w:p w14:paraId="534FA8A0">
            <w:pPr>
              <w:widowControl/>
              <w:jc w:val="center"/>
              <w:rPr>
                <w:rFonts w:hint="eastAsia" w:ascii="宋体" w:cs="宋体"/>
                <w:bCs/>
                <w:kern w:val="0"/>
                <w:sz w:val="24"/>
                <w:szCs w:val="24"/>
              </w:rPr>
            </w:pPr>
            <w:r>
              <w:rPr>
                <w:rFonts w:hint="eastAsia" w:ascii="宋体" w:cs="宋体"/>
                <w:bCs/>
                <w:color w:val="000000"/>
                <w:sz w:val="24"/>
                <w:szCs w:val="24"/>
                <w:shd w:val="clear" w:color="auto" w:fill="FFFFFF"/>
              </w:rPr>
              <w:t>乒乓球台</w:t>
            </w:r>
          </w:p>
        </w:tc>
        <w:tc>
          <w:tcPr>
            <w:tcW w:w="6263" w:type="dxa"/>
            <w:noWrap/>
            <w:vAlign w:val="center"/>
          </w:tcPr>
          <w:p w14:paraId="7516DF71">
            <w:pPr>
              <w:widowControl/>
              <w:jc w:val="left"/>
              <w:rPr>
                <w:rFonts w:hint="eastAsia" w:ascii="宋体" w:cs="宋体"/>
                <w:kern w:val="0"/>
                <w:sz w:val="24"/>
                <w:szCs w:val="24"/>
              </w:rPr>
            </w:pPr>
            <w:r>
              <w:rPr>
                <w:rFonts w:hint="eastAsia" w:ascii="宋体" w:cs="宋体"/>
                <w:kern w:val="0"/>
                <w:sz w:val="24"/>
                <w:szCs w:val="24"/>
              </w:rPr>
              <w:t>1、主立柱：</w:t>
            </w:r>
            <w:r>
              <w:rPr>
                <w:rFonts w:hint="eastAsia" w:ascii="宋体" w:cs="宋体"/>
                <w:bCs/>
                <w:kern w:val="0"/>
                <w:sz w:val="24"/>
                <w:szCs w:val="24"/>
              </w:rPr>
              <w:t>≥</w:t>
            </w:r>
            <w:r>
              <w:rPr>
                <w:rFonts w:hint="eastAsia" w:ascii="宋体" w:cs="宋体"/>
                <w:kern w:val="0"/>
                <w:sz w:val="24"/>
                <w:szCs w:val="24"/>
              </w:rPr>
              <w:t>Φ60×3.0mm</w:t>
            </w:r>
          </w:p>
          <w:p w14:paraId="724B0AFF">
            <w:pPr>
              <w:widowControl/>
              <w:jc w:val="left"/>
              <w:rPr>
                <w:rFonts w:hint="eastAsia" w:ascii="宋体" w:cs="宋体"/>
                <w:kern w:val="0"/>
                <w:sz w:val="24"/>
                <w:szCs w:val="24"/>
              </w:rPr>
            </w:pPr>
            <w:r>
              <w:rPr>
                <w:rFonts w:hint="eastAsia" w:ascii="宋体" w:cs="宋体"/>
                <w:kern w:val="0"/>
                <w:sz w:val="24"/>
                <w:szCs w:val="24"/>
              </w:rPr>
              <w:t>2、主承载横梁：</w:t>
            </w:r>
            <w:r>
              <w:rPr>
                <w:rFonts w:hint="eastAsia" w:ascii="宋体" w:cs="宋体"/>
                <w:bCs/>
                <w:kern w:val="0"/>
                <w:sz w:val="24"/>
                <w:szCs w:val="24"/>
              </w:rPr>
              <w:t>≥</w:t>
            </w:r>
            <w:r>
              <w:rPr>
                <w:rFonts w:hint="eastAsia" w:ascii="宋体" w:cs="宋体"/>
                <w:kern w:val="0"/>
                <w:sz w:val="24"/>
                <w:szCs w:val="24"/>
              </w:rPr>
              <w:t>25×50×2.0mm</w:t>
            </w:r>
          </w:p>
          <w:p w14:paraId="5B2FE1C1">
            <w:pPr>
              <w:widowControl/>
              <w:jc w:val="left"/>
              <w:rPr>
                <w:rFonts w:hint="eastAsia" w:ascii="宋体" w:cs="宋体"/>
                <w:kern w:val="0"/>
                <w:sz w:val="24"/>
                <w:szCs w:val="24"/>
              </w:rPr>
            </w:pPr>
            <w:r>
              <w:rPr>
                <w:rFonts w:hint="eastAsia" w:ascii="宋体" w:cs="宋体"/>
                <w:kern w:val="0"/>
                <w:sz w:val="24"/>
                <w:szCs w:val="24"/>
              </w:rPr>
              <w:t>3、主要技术参数：台面SMC材料，台板背面井字型结构加强筋；台面下面采用四横四纵方管支撑结构；网架采用钢管与钢板拼焊而成；</w:t>
            </w:r>
          </w:p>
          <w:p w14:paraId="0FB14082">
            <w:pPr>
              <w:widowControl/>
              <w:jc w:val="left"/>
              <w:rPr>
                <w:rFonts w:hint="eastAsia" w:ascii="宋体" w:cs="宋体"/>
                <w:kern w:val="0"/>
                <w:sz w:val="24"/>
                <w:szCs w:val="24"/>
              </w:rPr>
            </w:pPr>
            <w:r>
              <w:rPr>
                <w:rFonts w:hint="eastAsia" w:ascii="宋体" w:cs="宋体"/>
                <w:kern w:val="0"/>
                <w:sz w:val="24"/>
                <w:szCs w:val="24"/>
              </w:rPr>
              <w:t>4、表面处理工艺：脱脂——抛丸——静电喷涂</w:t>
            </w:r>
          </w:p>
          <w:p w14:paraId="4F3F334D">
            <w:pPr>
              <w:widowControl/>
              <w:jc w:val="left"/>
              <w:rPr>
                <w:rFonts w:hint="eastAsia" w:ascii="宋体" w:cs="宋体"/>
                <w:bCs/>
                <w:kern w:val="0"/>
                <w:sz w:val="24"/>
                <w:szCs w:val="24"/>
              </w:rPr>
            </w:pPr>
            <w:r>
              <w:rPr>
                <w:rFonts w:hint="eastAsia" w:ascii="宋体" w:cs="宋体"/>
                <w:kern w:val="0"/>
                <w:sz w:val="24"/>
                <w:szCs w:val="24"/>
              </w:rPr>
              <w:t>5、产品符合GB19272-2024《室外健身器材的安全通用要求》。</w:t>
            </w:r>
          </w:p>
        </w:tc>
        <w:tc>
          <w:tcPr>
            <w:tcW w:w="795" w:type="dxa"/>
            <w:noWrap/>
            <w:vAlign w:val="center"/>
          </w:tcPr>
          <w:p w14:paraId="05D50383">
            <w:pPr>
              <w:widowControl/>
              <w:jc w:val="center"/>
              <w:rPr>
                <w:rFonts w:hint="eastAsia" w:ascii="宋体" w:cs="宋体"/>
                <w:bCs/>
                <w:kern w:val="0"/>
                <w:sz w:val="24"/>
                <w:szCs w:val="24"/>
              </w:rPr>
            </w:pPr>
            <w:r>
              <w:rPr>
                <w:rFonts w:hint="eastAsia" w:ascii="宋体" w:cs="宋体"/>
                <w:bCs/>
                <w:kern w:val="0"/>
                <w:sz w:val="24"/>
                <w:szCs w:val="24"/>
              </w:rPr>
              <w:t>6</w:t>
            </w:r>
          </w:p>
        </w:tc>
        <w:tc>
          <w:tcPr>
            <w:tcW w:w="735" w:type="dxa"/>
            <w:noWrap/>
            <w:vAlign w:val="center"/>
          </w:tcPr>
          <w:p w14:paraId="0DEDB263">
            <w:pPr>
              <w:widowControl/>
              <w:jc w:val="center"/>
              <w:rPr>
                <w:rFonts w:hint="eastAsia" w:ascii="宋体" w:cs="宋体"/>
                <w:bCs/>
                <w:kern w:val="0"/>
                <w:sz w:val="24"/>
                <w:szCs w:val="24"/>
              </w:rPr>
            </w:pPr>
            <w:r>
              <w:rPr>
                <w:rFonts w:hint="eastAsia" w:ascii="宋体" w:cs="宋体"/>
                <w:bCs/>
                <w:kern w:val="0"/>
                <w:sz w:val="24"/>
                <w:szCs w:val="24"/>
              </w:rPr>
              <w:t>台</w:t>
            </w:r>
          </w:p>
        </w:tc>
      </w:tr>
      <w:tr w14:paraId="6A088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765" w:type="dxa"/>
            <w:noWrap/>
            <w:vAlign w:val="center"/>
          </w:tcPr>
          <w:p w14:paraId="3904218A">
            <w:pPr>
              <w:widowControl/>
              <w:jc w:val="center"/>
              <w:rPr>
                <w:rFonts w:hint="eastAsia" w:ascii="宋体" w:cs="宋体"/>
                <w:bCs/>
                <w:kern w:val="0"/>
                <w:sz w:val="24"/>
                <w:szCs w:val="24"/>
              </w:rPr>
            </w:pPr>
            <w:r>
              <w:rPr>
                <w:rFonts w:hint="eastAsia" w:ascii="宋体" w:cs="宋体"/>
                <w:bCs/>
                <w:kern w:val="0"/>
                <w:sz w:val="24"/>
                <w:szCs w:val="24"/>
              </w:rPr>
              <w:t>5</w:t>
            </w:r>
          </w:p>
        </w:tc>
        <w:tc>
          <w:tcPr>
            <w:tcW w:w="1065" w:type="dxa"/>
            <w:noWrap/>
            <w:vAlign w:val="center"/>
          </w:tcPr>
          <w:p w14:paraId="45B31F30">
            <w:pPr>
              <w:widowControl/>
              <w:jc w:val="center"/>
              <w:rPr>
                <w:rFonts w:hint="eastAsia" w:ascii="宋体" w:cs="宋体"/>
                <w:bCs/>
                <w:kern w:val="0"/>
                <w:sz w:val="24"/>
                <w:szCs w:val="24"/>
              </w:rPr>
            </w:pPr>
            <w:r>
              <w:rPr>
                <w:rFonts w:hint="eastAsia" w:ascii="宋体" w:cs="宋体"/>
                <w:bCs/>
                <w:color w:val="000000"/>
                <w:sz w:val="24"/>
                <w:szCs w:val="24"/>
                <w:shd w:val="clear" w:color="auto" w:fill="FFFFFF"/>
              </w:rPr>
              <w:t>排球馆顶灯200瓦</w:t>
            </w:r>
          </w:p>
        </w:tc>
        <w:tc>
          <w:tcPr>
            <w:tcW w:w="6263" w:type="dxa"/>
            <w:noWrap/>
            <w:vAlign w:val="center"/>
          </w:tcPr>
          <w:p w14:paraId="1653DE45">
            <w:pPr>
              <w:rPr>
                <w:rFonts w:hint="eastAsia" w:ascii="宋体" w:cs="宋体"/>
                <w:bCs/>
                <w:kern w:val="0"/>
                <w:sz w:val="24"/>
                <w:szCs w:val="24"/>
              </w:rPr>
            </w:pPr>
            <w:r>
              <w:rPr>
                <w:rFonts w:hint="eastAsia" w:ascii="宋体" w:cs="宋体"/>
                <w:bCs/>
                <w:kern w:val="0"/>
                <w:sz w:val="24"/>
                <w:szCs w:val="24"/>
              </w:rPr>
              <w:t xml:space="preserve">1、品名：LED工矿灯 </w:t>
            </w:r>
          </w:p>
          <w:p w14:paraId="14AF6058">
            <w:pPr>
              <w:rPr>
                <w:rFonts w:hint="eastAsia" w:ascii="宋体" w:cs="宋体"/>
                <w:bCs/>
                <w:kern w:val="0"/>
                <w:sz w:val="24"/>
                <w:szCs w:val="24"/>
              </w:rPr>
            </w:pPr>
            <w:r>
              <w:rPr>
                <w:rFonts w:hint="eastAsia" w:ascii="宋体" w:cs="宋体"/>
                <w:bCs/>
                <w:kern w:val="0"/>
                <w:sz w:val="24"/>
                <w:szCs w:val="24"/>
              </w:rPr>
              <w:t>2、电压：180v-240v</w:t>
            </w:r>
          </w:p>
          <w:p w14:paraId="20E5FA34">
            <w:pPr>
              <w:rPr>
                <w:rFonts w:hint="eastAsia" w:ascii="宋体" w:cs="宋体"/>
                <w:bCs/>
                <w:kern w:val="0"/>
                <w:sz w:val="24"/>
                <w:szCs w:val="24"/>
              </w:rPr>
            </w:pPr>
            <w:r>
              <w:rPr>
                <w:rFonts w:hint="eastAsia" w:ascii="宋体" w:cs="宋体"/>
                <w:bCs/>
                <w:kern w:val="0"/>
                <w:sz w:val="24"/>
                <w:szCs w:val="24"/>
              </w:rPr>
              <w:t>3、色温：6000k-6400k</w:t>
            </w:r>
          </w:p>
          <w:p w14:paraId="371C5582">
            <w:pPr>
              <w:rPr>
                <w:rFonts w:hint="eastAsia" w:ascii="宋体" w:cs="宋体"/>
                <w:bCs/>
                <w:kern w:val="0"/>
                <w:sz w:val="24"/>
                <w:szCs w:val="24"/>
              </w:rPr>
            </w:pPr>
            <w:r>
              <w:rPr>
                <w:rFonts w:hint="eastAsia" w:ascii="宋体" w:cs="宋体"/>
                <w:bCs/>
                <w:kern w:val="0"/>
                <w:sz w:val="24"/>
                <w:szCs w:val="24"/>
              </w:rPr>
              <w:t>4、功率：200w</w:t>
            </w:r>
          </w:p>
          <w:p w14:paraId="013EB47C">
            <w:pPr>
              <w:rPr>
                <w:rFonts w:hint="eastAsia" w:ascii="宋体" w:cs="宋体"/>
                <w:bCs/>
                <w:kern w:val="0"/>
                <w:sz w:val="24"/>
                <w:szCs w:val="24"/>
              </w:rPr>
            </w:pPr>
            <w:r>
              <w:rPr>
                <w:rFonts w:hint="eastAsia" w:ascii="宋体" w:cs="宋体"/>
                <w:bCs/>
                <w:kern w:val="0"/>
                <w:sz w:val="24"/>
                <w:szCs w:val="24"/>
              </w:rPr>
              <w:t xml:space="preserve">5、灯罩直径：43CM </w:t>
            </w:r>
          </w:p>
          <w:p w14:paraId="280A9903">
            <w:pPr>
              <w:rPr>
                <w:rFonts w:hint="eastAsia" w:ascii="宋体" w:cs="宋体"/>
                <w:bCs/>
                <w:kern w:val="0"/>
                <w:sz w:val="24"/>
                <w:szCs w:val="24"/>
              </w:rPr>
            </w:pPr>
            <w:r>
              <w:rPr>
                <w:rFonts w:hint="eastAsia" w:ascii="宋体" w:cs="宋体"/>
                <w:bCs/>
                <w:kern w:val="0"/>
                <w:sz w:val="24"/>
                <w:szCs w:val="24"/>
              </w:rPr>
              <w:t>6、透镜灯珠款。</w:t>
            </w:r>
          </w:p>
        </w:tc>
        <w:tc>
          <w:tcPr>
            <w:tcW w:w="795" w:type="dxa"/>
            <w:noWrap/>
            <w:vAlign w:val="center"/>
          </w:tcPr>
          <w:p w14:paraId="41AA35E2">
            <w:pPr>
              <w:widowControl/>
              <w:jc w:val="center"/>
              <w:rPr>
                <w:rFonts w:hint="eastAsia" w:ascii="宋体" w:cs="宋体"/>
                <w:bCs/>
                <w:kern w:val="0"/>
                <w:sz w:val="24"/>
                <w:szCs w:val="24"/>
              </w:rPr>
            </w:pPr>
            <w:r>
              <w:rPr>
                <w:rFonts w:hint="eastAsia" w:ascii="宋体" w:cs="宋体"/>
                <w:bCs/>
                <w:kern w:val="0"/>
                <w:sz w:val="24"/>
                <w:szCs w:val="24"/>
              </w:rPr>
              <w:t>45</w:t>
            </w:r>
          </w:p>
        </w:tc>
        <w:tc>
          <w:tcPr>
            <w:tcW w:w="735" w:type="dxa"/>
            <w:noWrap/>
            <w:vAlign w:val="center"/>
          </w:tcPr>
          <w:p w14:paraId="6EE398EE">
            <w:pPr>
              <w:widowControl/>
              <w:jc w:val="center"/>
              <w:rPr>
                <w:rFonts w:hint="eastAsia" w:ascii="宋体" w:cs="宋体"/>
                <w:bCs/>
                <w:kern w:val="0"/>
                <w:sz w:val="24"/>
                <w:szCs w:val="24"/>
              </w:rPr>
            </w:pPr>
            <w:r>
              <w:rPr>
                <w:rFonts w:hint="eastAsia" w:ascii="宋体" w:cs="宋体"/>
                <w:bCs/>
                <w:kern w:val="0"/>
                <w:sz w:val="24"/>
                <w:szCs w:val="24"/>
              </w:rPr>
              <w:t>套</w:t>
            </w:r>
          </w:p>
        </w:tc>
      </w:tr>
      <w:tr w14:paraId="705C0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765" w:type="dxa"/>
            <w:noWrap/>
            <w:vAlign w:val="center"/>
          </w:tcPr>
          <w:p w14:paraId="0F622585">
            <w:pPr>
              <w:widowControl/>
              <w:jc w:val="center"/>
              <w:rPr>
                <w:rFonts w:hint="eastAsia" w:ascii="宋体" w:cs="宋体"/>
                <w:bCs/>
                <w:kern w:val="0"/>
                <w:sz w:val="24"/>
                <w:szCs w:val="24"/>
              </w:rPr>
            </w:pPr>
            <w:r>
              <w:rPr>
                <w:rFonts w:hint="eastAsia" w:ascii="宋体" w:cs="宋体"/>
                <w:bCs/>
                <w:kern w:val="0"/>
                <w:sz w:val="24"/>
                <w:szCs w:val="24"/>
              </w:rPr>
              <w:t>6</w:t>
            </w:r>
          </w:p>
        </w:tc>
        <w:tc>
          <w:tcPr>
            <w:tcW w:w="1065" w:type="dxa"/>
            <w:noWrap/>
            <w:vAlign w:val="center"/>
          </w:tcPr>
          <w:p w14:paraId="43462107">
            <w:pPr>
              <w:widowControl/>
              <w:jc w:val="center"/>
              <w:textAlignment w:val="center"/>
              <w:rPr>
                <w:rFonts w:hint="eastAsia" w:ascii="宋体" w:cs="宋体"/>
                <w:color w:val="000000"/>
                <w:kern w:val="0"/>
                <w:sz w:val="24"/>
                <w:szCs w:val="24"/>
              </w:rPr>
            </w:pPr>
            <w:r>
              <w:rPr>
                <w:rFonts w:hint="eastAsia" w:ascii="宋体" w:cs="宋体"/>
                <w:color w:val="000000"/>
                <w:kern w:val="0"/>
                <w:sz w:val="24"/>
                <w:szCs w:val="24"/>
              </w:rPr>
              <w:t>运动员康复放松器</w:t>
            </w:r>
          </w:p>
        </w:tc>
        <w:tc>
          <w:tcPr>
            <w:tcW w:w="6263" w:type="dxa"/>
            <w:noWrap/>
            <w:vAlign w:val="center"/>
          </w:tcPr>
          <w:p w14:paraId="5E1DC3C9">
            <w:pPr>
              <w:widowControl/>
              <w:jc w:val="left"/>
              <w:textAlignment w:val="center"/>
              <w:rPr>
                <w:rFonts w:hint="eastAsia" w:ascii="宋体" w:cs="宋体"/>
                <w:color w:val="000000"/>
                <w:kern w:val="0"/>
                <w:sz w:val="24"/>
                <w:szCs w:val="24"/>
              </w:rPr>
            </w:pPr>
            <w:r>
              <w:rPr>
                <w:rFonts w:hint="eastAsia" w:ascii="宋体" w:cs="宋体"/>
                <w:color w:val="000000"/>
                <w:kern w:val="0"/>
                <w:sz w:val="24"/>
                <w:szCs w:val="24"/>
              </w:rPr>
              <w:t>1、类型：运动员康复放松器</w:t>
            </w:r>
          </w:p>
          <w:p w14:paraId="5D87B9F8">
            <w:pPr>
              <w:widowControl/>
              <w:jc w:val="left"/>
              <w:textAlignment w:val="center"/>
              <w:rPr>
                <w:rFonts w:hint="eastAsia" w:ascii="宋体" w:cs="宋体"/>
                <w:color w:val="000000"/>
                <w:kern w:val="0"/>
                <w:sz w:val="24"/>
                <w:szCs w:val="24"/>
              </w:rPr>
            </w:pPr>
            <w:r>
              <w:rPr>
                <w:rFonts w:hint="eastAsia" w:ascii="宋体" w:cs="宋体"/>
                <w:color w:val="000000"/>
                <w:kern w:val="0"/>
                <w:sz w:val="24"/>
                <w:szCs w:val="24"/>
              </w:rPr>
              <w:t>2、功能：零重力、局部热敷、智能监测</w:t>
            </w:r>
          </w:p>
          <w:p w14:paraId="409CF5EC">
            <w:pPr>
              <w:widowControl/>
              <w:jc w:val="left"/>
              <w:textAlignment w:val="center"/>
              <w:rPr>
                <w:rFonts w:hint="eastAsia" w:ascii="宋体" w:cs="宋体"/>
                <w:color w:val="000000"/>
                <w:kern w:val="0"/>
                <w:sz w:val="24"/>
                <w:szCs w:val="24"/>
              </w:rPr>
            </w:pPr>
            <w:r>
              <w:rPr>
                <w:rFonts w:hint="eastAsia" w:ascii="宋体" w:cs="宋体"/>
                <w:color w:val="000000"/>
                <w:kern w:val="0"/>
                <w:sz w:val="24"/>
                <w:szCs w:val="24"/>
              </w:rPr>
              <w:t>3、机芯等级：4D</w:t>
            </w:r>
          </w:p>
          <w:p w14:paraId="760F5FAA">
            <w:pPr>
              <w:widowControl/>
              <w:jc w:val="left"/>
              <w:textAlignment w:val="center"/>
              <w:rPr>
                <w:rFonts w:hint="eastAsia" w:ascii="宋体" w:cs="宋体"/>
                <w:color w:val="000000"/>
                <w:kern w:val="0"/>
                <w:sz w:val="24"/>
                <w:szCs w:val="24"/>
              </w:rPr>
            </w:pPr>
            <w:r>
              <w:rPr>
                <w:rFonts w:hint="eastAsia" w:ascii="宋体" w:cs="宋体"/>
                <w:color w:val="000000"/>
                <w:kern w:val="0"/>
                <w:sz w:val="24"/>
                <w:szCs w:val="24"/>
              </w:rPr>
              <w:t>4、导轨类型：S型</w:t>
            </w:r>
          </w:p>
          <w:p w14:paraId="746DEED8">
            <w:pPr>
              <w:widowControl/>
              <w:jc w:val="left"/>
              <w:textAlignment w:val="center"/>
              <w:rPr>
                <w:rFonts w:hint="eastAsia" w:ascii="宋体" w:cs="宋体"/>
                <w:color w:val="000000"/>
                <w:kern w:val="0"/>
                <w:sz w:val="24"/>
                <w:szCs w:val="24"/>
              </w:rPr>
            </w:pPr>
            <w:r>
              <w:rPr>
                <w:rFonts w:hint="eastAsia" w:ascii="宋体" w:cs="宋体"/>
                <w:color w:val="000000"/>
                <w:kern w:val="0"/>
                <w:sz w:val="24"/>
                <w:szCs w:val="24"/>
              </w:rPr>
              <w:t>5、产品尺寸：长1480mm，宽735mm，高1040mm</w:t>
            </w:r>
          </w:p>
        </w:tc>
        <w:tc>
          <w:tcPr>
            <w:tcW w:w="795" w:type="dxa"/>
            <w:noWrap/>
            <w:vAlign w:val="center"/>
          </w:tcPr>
          <w:p w14:paraId="3870C47D">
            <w:pPr>
              <w:widowControl/>
              <w:jc w:val="center"/>
              <w:rPr>
                <w:rFonts w:hint="eastAsia" w:ascii="宋体" w:cs="宋体"/>
                <w:bCs/>
                <w:kern w:val="0"/>
                <w:sz w:val="24"/>
                <w:szCs w:val="24"/>
              </w:rPr>
            </w:pPr>
            <w:r>
              <w:rPr>
                <w:rFonts w:hint="eastAsia" w:ascii="宋体" w:cs="宋体"/>
                <w:bCs/>
                <w:kern w:val="0"/>
                <w:sz w:val="24"/>
                <w:szCs w:val="24"/>
              </w:rPr>
              <w:t>1</w:t>
            </w:r>
          </w:p>
        </w:tc>
        <w:tc>
          <w:tcPr>
            <w:tcW w:w="735" w:type="dxa"/>
            <w:noWrap/>
            <w:vAlign w:val="center"/>
          </w:tcPr>
          <w:p w14:paraId="592EB82A">
            <w:pPr>
              <w:widowControl/>
              <w:jc w:val="center"/>
              <w:rPr>
                <w:rFonts w:hint="eastAsia" w:ascii="宋体" w:cs="宋体"/>
                <w:bCs/>
                <w:kern w:val="0"/>
                <w:sz w:val="24"/>
                <w:szCs w:val="24"/>
              </w:rPr>
            </w:pPr>
            <w:r>
              <w:rPr>
                <w:rFonts w:hint="eastAsia" w:ascii="宋体" w:cs="宋体"/>
                <w:bCs/>
                <w:kern w:val="0"/>
                <w:sz w:val="24"/>
                <w:szCs w:val="24"/>
              </w:rPr>
              <w:t>台</w:t>
            </w:r>
          </w:p>
        </w:tc>
      </w:tr>
      <w:tr w14:paraId="68E77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765" w:type="dxa"/>
            <w:noWrap/>
            <w:vAlign w:val="center"/>
          </w:tcPr>
          <w:p w14:paraId="7D32EAF2">
            <w:pPr>
              <w:widowControl/>
              <w:jc w:val="center"/>
              <w:rPr>
                <w:rFonts w:hint="eastAsia" w:ascii="宋体" w:cs="宋体"/>
                <w:bCs/>
                <w:kern w:val="0"/>
                <w:sz w:val="24"/>
                <w:szCs w:val="24"/>
              </w:rPr>
            </w:pPr>
            <w:r>
              <w:rPr>
                <w:rFonts w:hint="eastAsia" w:ascii="宋体" w:cs="宋体"/>
                <w:bCs/>
                <w:kern w:val="0"/>
                <w:sz w:val="24"/>
                <w:szCs w:val="24"/>
              </w:rPr>
              <w:t>7</w:t>
            </w:r>
          </w:p>
        </w:tc>
        <w:tc>
          <w:tcPr>
            <w:tcW w:w="1065" w:type="dxa"/>
            <w:noWrap/>
            <w:vAlign w:val="center"/>
          </w:tcPr>
          <w:p w14:paraId="256C4059">
            <w:pPr>
              <w:widowControl/>
              <w:jc w:val="center"/>
              <w:textAlignment w:val="center"/>
              <w:rPr>
                <w:rFonts w:hint="eastAsia" w:ascii="宋体" w:cs="宋体"/>
                <w:color w:val="000000"/>
                <w:kern w:val="0"/>
                <w:sz w:val="24"/>
                <w:szCs w:val="24"/>
              </w:rPr>
            </w:pPr>
            <w:r>
              <w:rPr>
                <w:rFonts w:hint="eastAsia" w:ascii="宋体" w:cs="宋体"/>
                <w:color w:val="000000"/>
                <w:kern w:val="0"/>
                <w:sz w:val="24"/>
                <w:szCs w:val="24"/>
              </w:rPr>
              <w:t>沙滩排球</w:t>
            </w:r>
          </w:p>
        </w:tc>
        <w:tc>
          <w:tcPr>
            <w:tcW w:w="6263" w:type="dxa"/>
            <w:noWrap/>
            <w:vAlign w:val="center"/>
          </w:tcPr>
          <w:p w14:paraId="4E2CE98F">
            <w:pPr>
              <w:widowControl/>
              <w:jc w:val="left"/>
              <w:textAlignment w:val="center"/>
              <w:rPr>
                <w:rFonts w:hint="eastAsia" w:ascii="宋体" w:cs="宋体"/>
                <w:color w:val="000000"/>
                <w:kern w:val="0"/>
                <w:sz w:val="24"/>
                <w:szCs w:val="24"/>
              </w:rPr>
            </w:pPr>
            <w:r>
              <w:rPr>
                <w:rFonts w:hint="eastAsia" w:ascii="宋体" w:cs="宋体"/>
                <w:color w:val="000000"/>
                <w:kern w:val="0"/>
                <w:sz w:val="24"/>
                <w:szCs w:val="24"/>
              </w:rPr>
              <w:t>球体规格：5号球</w:t>
            </w:r>
          </w:p>
          <w:p w14:paraId="20182B8A">
            <w:pPr>
              <w:widowControl/>
              <w:jc w:val="left"/>
              <w:textAlignment w:val="center"/>
              <w:rPr>
                <w:rFonts w:hint="eastAsia" w:ascii="宋体" w:cs="宋体"/>
                <w:color w:val="000000"/>
                <w:kern w:val="0"/>
                <w:sz w:val="24"/>
                <w:szCs w:val="24"/>
              </w:rPr>
            </w:pPr>
            <w:r>
              <w:rPr>
                <w:rFonts w:hint="eastAsia" w:ascii="宋体" w:cs="宋体"/>
                <w:color w:val="000000"/>
                <w:kern w:val="0"/>
                <w:sz w:val="24"/>
                <w:szCs w:val="24"/>
              </w:rPr>
              <w:t>重量：250~280g</w:t>
            </w:r>
          </w:p>
          <w:p w14:paraId="7661587F">
            <w:pPr>
              <w:widowControl/>
              <w:jc w:val="left"/>
              <w:textAlignment w:val="center"/>
              <w:rPr>
                <w:rFonts w:hint="eastAsia" w:ascii="宋体" w:cs="宋体"/>
                <w:color w:val="000000"/>
                <w:kern w:val="0"/>
                <w:sz w:val="24"/>
                <w:szCs w:val="24"/>
              </w:rPr>
            </w:pPr>
            <w:r>
              <w:rPr>
                <w:rFonts w:hint="eastAsia" w:ascii="宋体" w:cs="宋体"/>
                <w:color w:val="000000"/>
                <w:kern w:val="0"/>
                <w:sz w:val="24"/>
                <w:szCs w:val="24"/>
              </w:rPr>
              <w:t>外皮：pu材质</w:t>
            </w:r>
          </w:p>
          <w:p w14:paraId="44ED68AE">
            <w:pPr>
              <w:widowControl/>
              <w:jc w:val="left"/>
              <w:textAlignment w:val="center"/>
              <w:rPr>
                <w:rFonts w:hint="eastAsia" w:ascii="宋体" w:cs="宋体"/>
                <w:color w:val="000000"/>
                <w:kern w:val="0"/>
                <w:sz w:val="24"/>
                <w:szCs w:val="24"/>
              </w:rPr>
            </w:pPr>
            <w:r>
              <w:rPr>
                <w:rFonts w:hint="eastAsia" w:ascii="宋体" w:cs="宋体"/>
                <w:color w:val="000000"/>
                <w:kern w:val="0"/>
                <w:sz w:val="24"/>
                <w:szCs w:val="24"/>
              </w:rPr>
              <w:t>内胆：橡胶内胆</w:t>
            </w:r>
          </w:p>
        </w:tc>
        <w:tc>
          <w:tcPr>
            <w:tcW w:w="795" w:type="dxa"/>
            <w:noWrap/>
            <w:vAlign w:val="center"/>
          </w:tcPr>
          <w:p w14:paraId="62D5A696">
            <w:pPr>
              <w:widowControl/>
              <w:jc w:val="center"/>
              <w:rPr>
                <w:rFonts w:hint="eastAsia" w:ascii="宋体" w:cs="宋体"/>
                <w:bCs/>
                <w:kern w:val="0"/>
                <w:sz w:val="24"/>
                <w:szCs w:val="24"/>
              </w:rPr>
            </w:pPr>
            <w:r>
              <w:rPr>
                <w:rFonts w:hint="eastAsia" w:ascii="宋体" w:cs="宋体"/>
                <w:bCs/>
                <w:kern w:val="0"/>
                <w:sz w:val="24"/>
                <w:szCs w:val="24"/>
              </w:rPr>
              <w:t>10</w:t>
            </w:r>
          </w:p>
        </w:tc>
        <w:tc>
          <w:tcPr>
            <w:tcW w:w="735" w:type="dxa"/>
            <w:noWrap/>
            <w:vAlign w:val="center"/>
          </w:tcPr>
          <w:p w14:paraId="3964BE5B">
            <w:pPr>
              <w:widowControl/>
              <w:jc w:val="center"/>
              <w:rPr>
                <w:rFonts w:hint="eastAsia" w:ascii="宋体" w:cs="宋体"/>
                <w:bCs/>
                <w:kern w:val="0"/>
                <w:sz w:val="24"/>
                <w:szCs w:val="24"/>
              </w:rPr>
            </w:pPr>
            <w:r>
              <w:rPr>
                <w:rFonts w:hint="eastAsia" w:ascii="宋体" w:cs="宋体"/>
                <w:bCs/>
                <w:kern w:val="0"/>
                <w:sz w:val="24"/>
                <w:szCs w:val="24"/>
              </w:rPr>
              <w:t>个</w:t>
            </w:r>
          </w:p>
        </w:tc>
      </w:tr>
      <w:tr w14:paraId="67079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765" w:type="dxa"/>
            <w:noWrap/>
            <w:vAlign w:val="center"/>
          </w:tcPr>
          <w:p w14:paraId="23C92AC2">
            <w:pPr>
              <w:widowControl/>
              <w:jc w:val="center"/>
              <w:rPr>
                <w:rFonts w:hint="eastAsia" w:ascii="宋体" w:cs="宋体"/>
                <w:bCs/>
                <w:kern w:val="0"/>
                <w:sz w:val="24"/>
                <w:szCs w:val="24"/>
              </w:rPr>
            </w:pPr>
            <w:r>
              <w:rPr>
                <w:rFonts w:hint="eastAsia" w:ascii="宋体" w:cs="宋体"/>
                <w:bCs/>
                <w:kern w:val="0"/>
                <w:sz w:val="24"/>
                <w:szCs w:val="24"/>
              </w:rPr>
              <w:t>8</w:t>
            </w:r>
          </w:p>
        </w:tc>
        <w:tc>
          <w:tcPr>
            <w:tcW w:w="1065" w:type="dxa"/>
            <w:noWrap/>
            <w:vAlign w:val="center"/>
          </w:tcPr>
          <w:p w14:paraId="777A2CF7">
            <w:pPr>
              <w:widowControl/>
              <w:jc w:val="center"/>
              <w:textAlignment w:val="center"/>
              <w:rPr>
                <w:rFonts w:hint="eastAsia" w:ascii="宋体" w:cs="宋体"/>
                <w:color w:val="000000"/>
                <w:kern w:val="0"/>
                <w:sz w:val="24"/>
                <w:szCs w:val="24"/>
              </w:rPr>
            </w:pPr>
            <w:r>
              <w:rPr>
                <w:rFonts w:hint="eastAsia" w:ascii="宋体" w:cs="宋体"/>
                <w:color w:val="000000"/>
                <w:kern w:val="0"/>
                <w:sz w:val="24"/>
                <w:szCs w:val="24"/>
              </w:rPr>
              <w:t>足球</w:t>
            </w:r>
          </w:p>
        </w:tc>
        <w:tc>
          <w:tcPr>
            <w:tcW w:w="6263" w:type="dxa"/>
            <w:noWrap/>
            <w:vAlign w:val="center"/>
          </w:tcPr>
          <w:p w14:paraId="63C5FF45">
            <w:pPr>
              <w:widowControl/>
              <w:jc w:val="left"/>
              <w:textAlignment w:val="center"/>
              <w:rPr>
                <w:rFonts w:hint="eastAsia" w:ascii="宋体" w:cs="宋体"/>
                <w:color w:val="000000"/>
                <w:kern w:val="0"/>
                <w:sz w:val="24"/>
                <w:szCs w:val="24"/>
              </w:rPr>
            </w:pPr>
            <w:r>
              <w:rPr>
                <w:rFonts w:hint="eastAsia" w:ascii="宋体" w:cs="宋体"/>
                <w:color w:val="000000"/>
                <w:kern w:val="0"/>
                <w:sz w:val="24"/>
                <w:szCs w:val="24"/>
              </w:rPr>
              <w:t>球体规格：5号球</w:t>
            </w:r>
          </w:p>
          <w:p w14:paraId="3DDEE2AB">
            <w:pPr>
              <w:widowControl/>
              <w:jc w:val="left"/>
              <w:textAlignment w:val="center"/>
              <w:rPr>
                <w:rFonts w:hint="eastAsia" w:ascii="宋体" w:cs="宋体"/>
                <w:color w:val="000000"/>
                <w:kern w:val="0"/>
                <w:sz w:val="24"/>
                <w:szCs w:val="24"/>
              </w:rPr>
            </w:pPr>
            <w:r>
              <w:rPr>
                <w:rFonts w:hint="eastAsia" w:ascii="宋体" w:cs="宋体"/>
                <w:color w:val="000000"/>
                <w:kern w:val="0"/>
                <w:sz w:val="24"/>
                <w:szCs w:val="24"/>
              </w:rPr>
              <w:t>重量：420~445g</w:t>
            </w:r>
          </w:p>
          <w:p w14:paraId="2AAA837A">
            <w:pPr>
              <w:widowControl/>
              <w:jc w:val="left"/>
              <w:textAlignment w:val="center"/>
              <w:rPr>
                <w:rFonts w:hint="eastAsia" w:ascii="宋体" w:cs="宋体"/>
                <w:color w:val="000000"/>
                <w:kern w:val="0"/>
                <w:sz w:val="24"/>
                <w:szCs w:val="24"/>
              </w:rPr>
            </w:pPr>
            <w:r>
              <w:rPr>
                <w:rFonts w:hint="eastAsia" w:ascii="宋体" w:cs="宋体"/>
                <w:color w:val="000000"/>
                <w:kern w:val="0"/>
                <w:sz w:val="24"/>
                <w:szCs w:val="24"/>
              </w:rPr>
              <w:t>外皮：TPU+TPE材质</w:t>
            </w:r>
          </w:p>
          <w:p w14:paraId="251BED6D">
            <w:pPr>
              <w:widowControl/>
              <w:jc w:val="left"/>
              <w:textAlignment w:val="center"/>
              <w:rPr>
                <w:rFonts w:hint="eastAsia" w:ascii="宋体" w:cs="宋体"/>
                <w:color w:val="000000"/>
                <w:kern w:val="0"/>
                <w:sz w:val="24"/>
                <w:szCs w:val="24"/>
              </w:rPr>
            </w:pPr>
            <w:r>
              <w:rPr>
                <w:rFonts w:hint="eastAsia" w:ascii="宋体" w:cs="宋体"/>
                <w:color w:val="000000"/>
                <w:kern w:val="0"/>
                <w:sz w:val="24"/>
                <w:szCs w:val="24"/>
              </w:rPr>
              <w:t>内胆：缠纱橡胶内胆</w:t>
            </w:r>
          </w:p>
        </w:tc>
        <w:tc>
          <w:tcPr>
            <w:tcW w:w="795" w:type="dxa"/>
            <w:noWrap/>
            <w:vAlign w:val="center"/>
          </w:tcPr>
          <w:p w14:paraId="3B704571">
            <w:pPr>
              <w:widowControl/>
              <w:jc w:val="center"/>
              <w:rPr>
                <w:rFonts w:hint="eastAsia" w:ascii="宋体" w:cs="宋体"/>
                <w:bCs/>
                <w:kern w:val="0"/>
                <w:sz w:val="24"/>
                <w:szCs w:val="24"/>
              </w:rPr>
            </w:pPr>
            <w:r>
              <w:rPr>
                <w:rFonts w:hint="eastAsia" w:ascii="宋体" w:cs="宋体"/>
                <w:bCs/>
                <w:kern w:val="0"/>
                <w:sz w:val="24"/>
                <w:szCs w:val="24"/>
              </w:rPr>
              <w:t xml:space="preserve">10 </w:t>
            </w:r>
          </w:p>
        </w:tc>
        <w:tc>
          <w:tcPr>
            <w:tcW w:w="735" w:type="dxa"/>
            <w:noWrap/>
            <w:vAlign w:val="center"/>
          </w:tcPr>
          <w:p w14:paraId="5D24C788">
            <w:pPr>
              <w:widowControl/>
              <w:jc w:val="center"/>
              <w:rPr>
                <w:rFonts w:hint="eastAsia" w:ascii="宋体" w:cs="宋体"/>
                <w:bCs/>
                <w:kern w:val="0"/>
                <w:sz w:val="24"/>
                <w:szCs w:val="24"/>
              </w:rPr>
            </w:pPr>
            <w:r>
              <w:rPr>
                <w:rFonts w:hint="eastAsia" w:ascii="宋体" w:cs="宋体"/>
                <w:bCs/>
                <w:kern w:val="0"/>
                <w:sz w:val="24"/>
                <w:szCs w:val="24"/>
              </w:rPr>
              <w:t>个</w:t>
            </w:r>
          </w:p>
        </w:tc>
      </w:tr>
      <w:tr w14:paraId="26C1B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765" w:type="dxa"/>
            <w:noWrap/>
            <w:vAlign w:val="center"/>
          </w:tcPr>
          <w:p w14:paraId="60060298">
            <w:pPr>
              <w:widowControl/>
              <w:jc w:val="center"/>
              <w:rPr>
                <w:rFonts w:hint="eastAsia" w:ascii="宋体" w:cs="宋体"/>
                <w:bCs/>
                <w:kern w:val="0"/>
                <w:sz w:val="24"/>
                <w:szCs w:val="24"/>
              </w:rPr>
            </w:pPr>
            <w:r>
              <w:rPr>
                <w:rFonts w:hint="eastAsia" w:ascii="宋体" w:cs="宋体"/>
                <w:bCs/>
                <w:kern w:val="0"/>
                <w:sz w:val="24"/>
                <w:szCs w:val="24"/>
              </w:rPr>
              <w:t>9</w:t>
            </w:r>
          </w:p>
        </w:tc>
        <w:tc>
          <w:tcPr>
            <w:tcW w:w="1065" w:type="dxa"/>
            <w:noWrap/>
            <w:vAlign w:val="center"/>
          </w:tcPr>
          <w:p w14:paraId="07370904">
            <w:pPr>
              <w:widowControl/>
              <w:jc w:val="center"/>
              <w:textAlignment w:val="center"/>
              <w:rPr>
                <w:rFonts w:hint="eastAsia" w:ascii="宋体" w:cs="宋体"/>
                <w:bCs/>
                <w:color w:val="000000"/>
                <w:sz w:val="24"/>
                <w:szCs w:val="24"/>
                <w:shd w:val="clear" w:color="auto" w:fill="FFFFFF"/>
              </w:rPr>
            </w:pPr>
            <w:r>
              <w:rPr>
                <w:rFonts w:hint="eastAsia" w:ascii="宋体" w:cs="宋体"/>
                <w:color w:val="000000"/>
                <w:kern w:val="0"/>
                <w:sz w:val="24"/>
                <w:szCs w:val="24"/>
              </w:rPr>
              <w:t>室内橡胶地垫</w:t>
            </w:r>
          </w:p>
        </w:tc>
        <w:tc>
          <w:tcPr>
            <w:tcW w:w="6263" w:type="dxa"/>
            <w:noWrap/>
            <w:vAlign w:val="center"/>
          </w:tcPr>
          <w:p w14:paraId="1BEE2E1B">
            <w:pPr>
              <w:widowControl/>
              <w:jc w:val="left"/>
              <w:textAlignment w:val="center"/>
              <w:rPr>
                <w:rFonts w:hint="eastAsia" w:ascii="宋体" w:cs="宋体"/>
                <w:color w:val="000000"/>
                <w:kern w:val="0"/>
                <w:sz w:val="24"/>
                <w:szCs w:val="24"/>
              </w:rPr>
            </w:pPr>
            <w:r>
              <w:rPr>
                <w:rFonts w:hint="eastAsia" w:ascii="宋体" w:cs="宋体"/>
                <w:color w:val="000000"/>
                <w:kern w:val="0"/>
                <w:sz w:val="24"/>
                <w:szCs w:val="24"/>
              </w:rPr>
              <w:t>一、产品描述：</w:t>
            </w:r>
          </w:p>
          <w:p w14:paraId="3001A5B7">
            <w:pPr>
              <w:widowControl/>
              <w:jc w:val="left"/>
              <w:textAlignment w:val="center"/>
              <w:rPr>
                <w:rFonts w:hint="eastAsia" w:ascii="宋体" w:cs="宋体"/>
                <w:color w:val="000000"/>
                <w:kern w:val="0"/>
                <w:sz w:val="24"/>
                <w:szCs w:val="24"/>
              </w:rPr>
            </w:pPr>
            <w:r>
              <w:rPr>
                <w:rFonts w:hint="eastAsia" w:ascii="宋体" w:cs="宋体"/>
                <w:color w:val="000000"/>
                <w:kern w:val="0"/>
                <w:sz w:val="24"/>
                <w:szCs w:val="24"/>
              </w:rPr>
              <w:t>1、产品名称：复合橡胶减震地垫</w:t>
            </w:r>
          </w:p>
          <w:p w14:paraId="27B8188D">
            <w:pPr>
              <w:widowControl/>
              <w:jc w:val="left"/>
              <w:textAlignment w:val="center"/>
              <w:rPr>
                <w:rFonts w:hint="eastAsia" w:ascii="宋体" w:cs="宋体"/>
                <w:color w:val="000000"/>
                <w:kern w:val="0"/>
                <w:sz w:val="24"/>
                <w:szCs w:val="24"/>
              </w:rPr>
            </w:pPr>
            <w:r>
              <w:rPr>
                <w:rFonts w:hint="eastAsia" w:ascii="宋体" w:cs="宋体"/>
                <w:color w:val="000000"/>
                <w:kern w:val="0"/>
                <w:sz w:val="24"/>
                <w:szCs w:val="24"/>
              </w:rPr>
              <w:t>2、产品材质：高弹性 EPDM/SBR 聚合物</w:t>
            </w:r>
          </w:p>
          <w:p w14:paraId="5C90B5CF">
            <w:pPr>
              <w:widowControl/>
              <w:jc w:val="left"/>
              <w:textAlignment w:val="center"/>
              <w:rPr>
                <w:rFonts w:hint="eastAsia" w:ascii="宋体" w:cs="宋体"/>
                <w:color w:val="000000"/>
                <w:kern w:val="0"/>
                <w:sz w:val="24"/>
                <w:szCs w:val="24"/>
              </w:rPr>
            </w:pPr>
            <w:r>
              <w:rPr>
                <w:rFonts w:hint="eastAsia" w:ascii="宋体" w:cs="宋体"/>
                <w:color w:val="000000"/>
                <w:kern w:val="0"/>
                <w:sz w:val="24"/>
                <w:szCs w:val="24"/>
              </w:rPr>
              <w:t>3、产品功能：缓冲减震、隔音等</w:t>
            </w:r>
          </w:p>
          <w:p w14:paraId="79FECA16">
            <w:pPr>
              <w:widowControl/>
              <w:jc w:val="left"/>
              <w:textAlignment w:val="center"/>
              <w:rPr>
                <w:rFonts w:hint="eastAsia" w:ascii="宋体" w:cs="宋体"/>
                <w:color w:val="000000"/>
                <w:kern w:val="0"/>
                <w:sz w:val="24"/>
                <w:szCs w:val="24"/>
              </w:rPr>
            </w:pPr>
            <w:r>
              <w:rPr>
                <w:rFonts w:hint="eastAsia" w:ascii="宋体" w:cs="宋体"/>
                <w:color w:val="000000"/>
                <w:kern w:val="0"/>
                <w:sz w:val="24"/>
                <w:szCs w:val="24"/>
              </w:rPr>
              <w:t>4、产品规格：不少于500*500*15mm或1000*1000*15mm</w:t>
            </w:r>
          </w:p>
          <w:p w14:paraId="3FAEE1DB">
            <w:pPr>
              <w:widowControl/>
              <w:jc w:val="left"/>
              <w:textAlignment w:val="center"/>
              <w:rPr>
                <w:rFonts w:hint="eastAsia" w:ascii="宋体" w:cs="宋体"/>
                <w:color w:val="000000"/>
                <w:kern w:val="0"/>
                <w:sz w:val="24"/>
                <w:szCs w:val="24"/>
              </w:rPr>
            </w:pPr>
            <w:r>
              <w:rPr>
                <w:rFonts w:hint="eastAsia" w:ascii="宋体" w:cs="宋体"/>
                <w:color w:val="000000"/>
                <w:kern w:val="0"/>
                <w:sz w:val="24"/>
                <w:szCs w:val="24"/>
              </w:rPr>
              <w:t>厚度差≤0.2mm</w:t>
            </w:r>
          </w:p>
          <w:p w14:paraId="6CB8B840">
            <w:pPr>
              <w:widowControl/>
              <w:jc w:val="left"/>
              <w:textAlignment w:val="center"/>
              <w:rPr>
                <w:rFonts w:hint="eastAsia" w:ascii="宋体" w:cs="宋体"/>
                <w:color w:val="000000"/>
                <w:kern w:val="0"/>
                <w:sz w:val="24"/>
                <w:szCs w:val="24"/>
              </w:rPr>
            </w:pPr>
            <w:r>
              <w:rPr>
                <w:rFonts w:hint="eastAsia" w:ascii="宋体" w:cs="宋体"/>
                <w:color w:val="000000"/>
                <w:kern w:val="0"/>
                <w:sz w:val="24"/>
                <w:szCs w:val="24"/>
              </w:rPr>
              <w:t>耐磨面层密度:≥1200kg/m³</w:t>
            </w:r>
          </w:p>
          <w:p w14:paraId="4C0ECDA4">
            <w:pPr>
              <w:widowControl/>
              <w:jc w:val="left"/>
              <w:textAlignment w:val="center"/>
              <w:rPr>
                <w:rFonts w:hint="eastAsia" w:ascii="宋体" w:cs="宋体"/>
                <w:b/>
                <w:bCs/>
                <w:color w:val="000000"/>
                <w:kern w:val="0"/>
                <w:sz w:val="24"/>
                <w:szCs w:val="24"/>
              </w:rPr>
            </w:pPr>
            <w:r>
              <w:rPr>
                <w:rFonts w:hint="eastAsia" w:ascii="宋体" w:cs="宋体"/>
                <w:b/>
                <w:bCs/>
                <w:color w:val="000000"/>
                <w:kern w:val="0"/>
                <w:sz w:val="24"/>
                <w:szCs w:val="24"/>
              </w:rPr>
              <w:t>二、产品技术参数：</w:t>
            </w:r>
          </w:p>
          <w:p w14:paraId="7435D9EE">
            <w:pPr>
              <w:widowControl/>
              <w:jc w:val="left"/>
              <w:textAlignment w:val="center"/>
              <w:rPr>
                <w:rFonts w:hint="eastAsia" w:ascii="宋体" w:cs="宋体"/>
                <w:color w:val="000000"/>
                <w:kern w:val="0"/>
                <w:sz w:val="24"/>
                <w:szCs w:val="24"/>
              </w:rPr>
            </w:pPr>
            <w:r>
              <w:rPr>
                <w:rFonts w:hint="eastAsia" w:ascii="宋体" w:cs="宋体"/>
                <w:color w:val="000000"/>
                <w:kern w:val="0"/>
                <w:sz w:val="24"/>
                <w:szCs w:val="24"/>
              </w:rPr>
              <w:t>1、地垫成品依据GB 30000.19-2013化学品分类和标签规范 第19部分：皮肤腐蚀/刺激。进行急性皮肤腐蚀/刺激试验，检测结果为对皮肤无刺激性。</w:t>
            </w:r>
          </w:p>
          <w:p w14:paraId="0792970D">
            <w:pPr>
              <w:widowControl/>
              <w:jc w:val="left"/>
              <w:textAlignment w:val="center"/>
              <w:rPr>
                <w:rFonts w:hint="eastAsia" w:ascii="宋体" w:cs="宋体"/>
                <w:color w:val="000000"/>
                <w:kern w:val="0"/>
                <w:sz w:val="24"/>
                <w:szCs w:val="24"/>
              </w:rPr>
            </w:pPr>
            <w:r>
              <w:rPr>
                <w:rFonts w:hint="eastAsia" w:ascii="宋体" w:cs="宋体"/>
                <w:color w:val="000000"/>
                <w:kern w:val="0"/>
                <w:sz w:val="24"/>
                <w:szCs w:val="24"/>
              </w:rPr>
              <w:t>2、地垫成品依据GB/T 15256-2014检测地垫耐低温性能，要求耐低温脆性温度不得≥-20℃。</w:t>
            </w:r>
          </w:p>
          <w:p w14:paraId="7EF881B9">
            <w:pPr>
              <w:widowControl/>
              <w:jc w:val="left"/>
              <w:textAlignment w:val="center"/>
              <w:rPr>
                <w:rFonts w:hint="eastAsia" w:ascii="宋体" w:cs="宋体"/>
                <w:color w:val="000000"/>
                <w:kern w:val="0"/>
                <w:sz w:val="24"/>
                <w:szCs w:val="24"/>
              </w:rPr>
            </w:pPr>
            <w:r>
              <w:rPr>
                <w:rFonts w:hint="eastAsia" w:ascii="宋体" w:cs="宋体"/>
                <w:color w:val="000000"/>
                <w:kern w:val="0"/>
                <w:sz w:val="24"/>
                <w:szCs w:val="24"/>
              </w:rPr>
              <w:t>3、橡胶地垫依据GB 36246-2018《中小学合成材料面层运动场地》,气味等级≤3级，铅、镉、铬及汞四项可溶性重金属未检出，甲醛mg/（㎡·h）≤0.077。</w:t>
            </w:r>
          </w:p>
          <w:p w14:paraId="0C28B7A1">
            <w:pPr>
              <w:widowControl/>
              <w:jc w:val="left"/>
              <w:textAlignment w:val="center"/>
              <w:rPr>
                <w:rFonts w:hint="eastAsia" w:ascii="宋体" w:cs="宋体"/>
                <w:color w:val="000000"/>
                <w:kern w:val="0"/>
                <w:sz w:val="24"/>
                <w:szCs w:val="24"/>
              </w:rPr>
            </w:pPr>
            <w:r>
              <w:rPr>
                <w:rFonts w:hint="eastAsia" w:ascii="宋体" w:cs="宋体"/>
                <w:color w:val="000000"/>
                <w:kern w:val="0"/>
                <w:sz w:val="24"/>
                <w:szCs w:val="24"/>
              </w:rPr>
              <w:t>4、为确保耐用性，环保EPDM橡胶颗粒生产厂家依据GB/T3512-2014、GB/T 250-2008，检测环保EPDM橡胶颗粒耐高温70度，500小时老化后灰卡变色等级≥4级，外观无明显变色，无粉化、开裂、起泡、剥落、发粘等现象合格。</w:t>
            </w:r>
          </w:p>
          <w:p w14:paraId="0AE02BA8">
            <w:pPr>
              <w:widowControl/>
              <w:jc w:val="left"/>
              <w:textAlignment w:val="center"/>
              <w:rPr>
                <w:rFonts w:hint="eastAsia" w:ascii="宋体" w:cs="宋体"/>
                <w:color w:val="000000"/>
                <w:kern w:val="0"/>
                <w:sz w:val="24"/>
                <w:szCs w:val="24"/>
              </w:rPr>
            </w:pPr>
          </w:p>
          <w:p w14:paraId="1EE7EF7C">
            <w:pPr>
              <w:widowControl/>
              <w:jc w:val="left"/>
              <w:textAlignment w:val="center"/>
              <w:rPr>
                <w:rFonts w:hint="eastAsia" w:ascii="宋体" w:cs="宋体"/>
                <w:bCs/>
                <w:kern w:val="0"/>
                <w:sz w:val="24"/>
                <w:szCs w:val="24"/>
              </w:rPr>
            </w:pPr>
            <w:r>
              <w:rPr>
                <w:rFonts w:hint="eastAsia" w:ascii="宋体" w:cs="宋体"/>
                <w:color w:val="000000"/>
                <w:kern w:val="0"/>
                <w:sz w:val="24"/>
                <w:szCs w:val="24"/>
              </w:rPr>
              <w:t>▲以上技术参数1-4条，投标文件中需提供带有“CMA”标识的检测报告佐证</w:t>
            </w:r>
          </w:p>
        </w:tc>
        <w:tc>
          <w:tcPr>
            <w:tcW w:w="795" w:type="dxa"/>
            <w:noWrap/>
            <w:vAlign w:val="center"/>
          </w:tcPr>
          <w:p w14:paraId="0E3B4901">
            <w:pPr>
              <w:widowControl/>
              <w:jc w:val="center"/>
              <w:rPr>
                <w:rFonts w:hint="eastAsia" w:ascii="宋体" w:cs="宋体"/>
                <w:bCs/>
                <w:kern w:val="0"/>
                <w:sz w:val="24"/>
                <w:szCs w:val="24"/>
              </w:rPr>
            </w:pPr>
            <w:r>
              <w:rPr>
                <w:rFonts w:ascii="宋体" w:cs="宋体"/>
                <w:bCs/>
                <w:kern w:val="0"/>
                <w:sz w:val="24"/>
                <w:szCs w:val="24"/>
              </w:rPr>
              <w:t>64</w:t>
            </w:r>
          </w:p>
        </w:tc>
        <w:tc>
          <w:tcPr>
            <w:tcW w:w="735" w:type="dxa"/>
            <w:noWrap/>
            <w:vAlign w:val="center"/>
          </w:tcPr>
          <w:p w14:paraId="4CB55B5A">
            <w:pPr>
              <w:widowControl/>
              <w:jc w:val="center"/>
              <w:rPr>
                <w:rFonts w:hint="eastAsia" w:ascii="宋体" w:cs="宋体"/>
                <w:bCs/>
                <w:kern w:val="0"/>
                <w:sz w:val="24"/>
                <w:szCs w:val="24"/>
              </w:rPr>
            </w:pPr>
            <w:r>
              <w:rPr>
                <w:rFonts w:ascii="宋体" w:cs="宋体"/>
                <w:bCs/>
                <w:kern w:val="0"/>
                <w:sz w:val="24"/>
                <w:szCs w:val="24"/>
              </w:rPr>
              <w:t>平方米</w:t>
            </w:r>
          </w:p>
        </w:tc>
      </w:tr>
      <w:tr w14:paraId="54194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9623" w:type="dxa"/>
            <w:gridSpan w:val="5"/>
            <w:noWrap/>
            <w:vAlign w:val="center"/>
          </w:tcPr>
          <w:p w14:paraId="243CF44E">
            <w:pPr>
              <w:widowControl/>
              <w:ind w:firstLine="482" w:firstLineChars="200"/>
              <w:jc w:val="left"/>
              <w:rPr>
                <w:rFonts w:hint="eastAsia" w:ascii="宋体" w:cs="宋体"/>
                <w:b/>
                <w:bCs/>
                <w:color w:val="000000"/>
                <w:kern w:val="0"/>
                <w:sz w:val="24"/>
                <w:szCs w:val="24"/>
              </w:rPr>
            </w:pPr>
            <w:r>
              <w:rPr>
                <w:rFonts w:hint="eastAsia" w:ascii="宋体" w:cs="宋体"/>
                <w:b/>
                <w:bCs/>
                <w:color w:val="000000"/>
                <w:kern w:val="0"/>
                <w:sz w:val="24"/>
                <w:szCs w:val="24"/>
              </w:rPr>
              <w:t>以上标注▲</w:t>
            </w:r>
            <w:r>
              <w:rPr>
                <w:rFonts w:hint="eastAsia" w:ascii="宋体" w:cs="宋体"/>
                <w:b/>
                <w:bCs/>
                <w:color w:val="auto"/>
                <w:kern w:val="0"/>
                <w:sz w:val="24"/>
                <w:szCs w:val="24"/>
              </w:rPr>
              <w:t>的参数，要求在响应文件中提供完全符合要求的检验（检测）报告进行佐证，</w:t>
            </w:r>
            <w:r>
              <w:rPr>
                <w:rFonts w:hint="eastAsia" w:ascii="宋体" w:cs="宋体"/>
                <w:b/>
                <w:bCs/>
                <w:color w:val="000000"/>
                <w:kern w:val="0"/>
                <w:sz w:val="24"/>
                <w:szCs w:val="24"/>
              </w:rPr>
              <w:t>中标单位签合同前提供原件核查，如所提供的资料与参数要求不完全相符或提供不出，视为无效响应；</w:t>
            </w:r>
          </w:p>
          <w:p w14:paraId="13FB16D2">
            <w:pPr>
              <w:widowControl/>
              <w:ind w:firstLine="482" w:firstLineChars="200"/>
              <w:jc w:val="left"/>
              <w:rPr>
                <w:rFonts w:hint="eastAsia" w:ascii="宋体" w:cs="宋体"/>
                <w:bCs/>
                <w:kern w:val="0"/>
                <w:sz w:val="24"/>
                <w:szCs w:val="24"/>
              </w:rPr>
            </w:pPr>
            <w:r>
              <w:rPr>
                <w:rFonts w:hint="eastAsia" w:ascii="宋体" w:cs="宋体"/>
                <w:b/>
                <w:bCs/>
                <w:color w:val="000000"/>
                <w:kern w:val="0"/>
                <w:sz w:val="24"/>
                <w:szCs w:val="24"/>
              </w:rPr>
              <w:t>投标人须承诺：未标注▲的参数，供货时将逐条核对，如所提供的货物及资料与参数要求不符，视为虚假响应，所造成的后果由供货人承担，并上报相关部门严肃处理。</w:t>
            </w:r>
          </w:p>
        </w:tc>
      </w:tr>
    </w:tbl>
    <w:p w14:paraId="3351FB16">
      <w:pPr>
        <w:numPr>
          <w:ilvl w:val="0"/>
          <w:numId w:val="0"/>
        </w:numPr>
        <w:spacing w:line="360" w:lineRule="auto"/>
        <w:jc w:val="both"/>
        <w:outlineLvl w:val="0"/>
        <w:rPr>
          <w:rFonts w:hint="eastAsia" w:asciiTheme="minorEastAsia" w:hAnsiTheme="minorEastAsia" w:eastAsiaTheme="minorEastAsia"/>
          <w:b/>
          <w:color w:val="auto"/>
          <w:sz w:val="24"/>
          <w:szCs w:val="24"/>
          <w:highlight w:val="none"/>
          <w:lang w:val="en-US" w:eastAsia="zh-CN"/>
        </w:rPr>
      </w:pPr>
    </w:p>
    <w:p w14:paraId="4393453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4E1CDC"/>
    <w:multiLevelType w:val="singleLevel"/>
    <w:tmpl w:val="BE4E1CDC"/>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7515B4"/>
    <w:rsid w:val="10D64D2E"/>
    <w:rsid w:val="177515B4"/>
    <w:rsid w:val="4BCF3987"/>
    <w:rsid w:val="4D502AF2"/>
    <w:rsid w:val="5DDC5BCF"/>
    <w:rsid w:val="7809289D"/>
    <w:rsid w:val="7FA34B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heme="minorBidi"/>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网格型2"/>
    <w:basedOn w:val="2"/>
    <w:unhideWhenUsed/>
    <w:qFormat/>
    <w:uiPriority w:val="59"/>
    <w:rPr>
      <w:rFonts w:asciiTheme="minorHAnsi" w:hAnsiTheme="minorHAnsi" w:eastAsiaTheme="minorEastAsia"/>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2847</Words>
  <Characters>3146</Characters>
  <Lines>0</Lines>
  <Paragraphs>0</Paragraphs>
  <TotalTime>0</TotalTime>
  <ScaleCrop>false</ScaleCrop>
  <LinksUpToDate>false</LinksUpToDate>
  <CharactersWithSpaces>3169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2026-10-28T08:33:00Z</dcterms:created>
  <dc:creator>古欧月</dc:creator>
  <cp:lastModifiedBy>古欧月</cp:lastModifiedBy>
  <dcterms:modified xsi:type="dcterms:W3CDTF">2026-10-29T07:23:33Z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A89A489ADBD84654BDD33596B48CBD10_11</vt:lpwstr>
  </property>
  <property fmtid="{D5CDD505-2E9C-101B-9397-08002B2CF9AE}" pid="4" name="KSOTemplateDocerSaveRecord">
    <vt:lpwstr>eyJoZGlkIjoiYzUzZTkwYjQxNzY4Mjg0Y2EzZWJhNDRjZWNiNDAyMDMiLCJ1c2VySWQiOiI0MjAxNTA2NzEifQ==</vt:lpwstr>
  </property>
</Properties>
</file>